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91" w:rsidRPr="00CD7D26" w:rsidRDefault="00F70FFA" w:rsidP="00CD7D26">
      <w:pPr>
        <w:spacing w:before="59"/>
        <w:ind w:left="120"/>
        <w:rPr>
          <w:rFonts w:asciiTheme="minorHAnsi" w:hAnsiTheme="minorHAnsi" w:cstheme="minorHAnsi"/>
          <w:b/>
          <w:sz w:val="28"/>
          <w:szCs w:val="28"/>
        </w:rPr>
      </w:pPr>
      <w:r w:rsidRPr="00CD7D26">
        <w:rPr>
          <w:rFonts w:asciiTheme="minorHAnsi" w:hAnsiTheme="minorHAnsi" w:cstheme="minorHAnsi"/>
          <w:b/>
          <w:sz w:val="28"/>
          <w:szCs w:val="28"/>
        </w:rPr>
        <w:t>BLOODBORNE PATHOGENS and</w:t>
      </w:r>
      <w:r w:rsidR="00CD7D26" w:rsidRPr="00CD7D26">
        <w:rPr>
          <w:rFonts w:asciiTheme="minorHAnsi" w:hAnsiTheme="minorHAnsi" w:cstheme="minorHAnsi"/>
          <w:b/>
          <w:sz w:val="28"/>
          <w:szCs w:val="28"/>
        </w:rPr>
        <w:t xml:space="preserve"> </w:t>
      </w:r>
      <w:r w:rsidRPr="00CD7D26">
        <w:rPr>
          <w:rFonts w:asciiTheme="minorHAnsi" w:hAnsiTheme="minorHAnsi" w:cstheme="minorHAnsi"/>
          <w:b/>
          <w:sz w:val="28"/>
          <w:szCs w:val="28"/>
        </w:rPr>
        <w:t>Substitutes in the Central Substitute System</w:t>
      </w:r>
    </w:p>
    <w:p w:rsidR="00290691" w:rsidRPr="00CD7D26" w:rsidRDefault="00CD7D26" w:rsidP="00CD7D26">
      <w:pPr>
        <w:pStyle w:val="Heading1"/>
        <w:spacing w:before="244"/>
        <w:rPr>
          <w:rFonts w:asciiTheme="minorHAnsi" w:hAnsiTheme="minorHAnsi" w:cstheme="minorHAnsi"/>
        </w:rPr>
      </w:pPr>
      <w:bookmarkStart w:id="0" w:name="Employee_Exposure_Category_Determination"/>
      <w:bookmarkEnd w:id="0"/>
      <w:r>
        <w:rPr>
          <w:rFonts w:asciiTheme="minorHAnsi" w:hAnsiTheme="minorHAnsi" w:cstheme="minorHAnsi"/>
          <w:u w:val="thick"/>
        </w:rPr>
        <w:t xml:space="preserve">EMPLOYEE EXPOSURE CATEGORY </w:t>
      </w:r>
      <w:bookmarkStart w:id="1" w:name="_GoBack"/>
      <w:bookmarkEnd w:id="1"/>
      <w:r>
        <w:rPr>
          <w:rFonts w:asciiTheme="minorHAnsi" w:hAnsiTheme="minorHAnsi" w:cstheme="minorHAnsi"/>
          <w:u w:val="thick"/>
        </w:rPr>
        <w:t>DETERMINATION</w:t>
      </w:r>
    </w:p>
    <w:p w:rsidR="00290691" w:rsidRPr="00CD7D26" w:rsidRDefault="00290691">
      <w:pPr>
        <w:pStyle w:val="BodyText"/>
        <w:spacing w:before="4"/>
        <w:rPr>
          <w:rFonts w:asciiTheme="minorHAnsi" w:hAnsiTheme="minorHAnsi" w:cstheme="minorHAnsi"/>
          <w:b/>
        </w:rPr>
      </w:pPr>
    </w:p>
    <w:p w:rsidR="00290691" w:rsidRPr="00CD7D26" w:rsidRDefault="00F70FFA">
      <w:pPr>
        <w:pStyle w:val="BodyText"/>
        <w:spacing w:line="225" w:lineRule="auto"/>
        <w:ind w:left="119" w:right="112"/>
        <w:jc w:val="both"/>
        <w:rPr>
          <w:rFonts w:asciiTheme="minorHAnsi" w:hAnsiTheme="minorHAnsi" w:cstheme="minorHAnsi"/>
        </w:rPr>
      </w:pPr>
      <w:r w:rsidRPr="00CD7D26">
        <w:rPr>
          <w:rFonts w:asciiTheme="minorHAnsi" w:hAnsiTheme="minorHAnsi" w:cstheme="minorHAnsi"/>
        </w:rPr>
        <w:t xml:space="preserve">The State of California (Cal/OSHA) requires SCOE to determine employees who may incur occupational exposure to blood or other potentially infectious materials. The exposure determination is made without regard to the use of personal protective equipment (i.e. employees are considered to be exposed even if they wear personal protective equipment). This exposure determination is required to list all job classifications in which employees </w:t>
      </w:r>
      <w:proofErr w:type="gramStart"/>
      <w:r w:rsidRPr="00CD7D26">
        <w:rPr>
          <w:rFonts w:asciiTheme="minorHAnsi" w:hAnsiTheme="minorHAnsi" w:cstheme="minorHAnsi"/>
        </w:rPr>
        <w:t>may be expected</w:t>
      </w:r>
      <w:proofErr w:type="gramEnd"/>
      <w:r w:rsidRPr="00CD7D26">
        <w:rPr>
          <w:rFonts w:asciiTheme="minorHAnsi" w:hAnsiTheme="minorHAnsi" w:cstheme="minorHAnsi"/>
        </w:rPr>
        <w:t xml:space="preserve"> to incur an occupational exposure, regardless of frequency.</w:t>
      </w:r>
    </w:p>
    <w:p w:rsidR="00290691" w:rsidRPr="00CD7D26" w:rsidRDefault="00290691">
      <w:pPr>
        <w:pStyle w:val="BodyText"/>
        <w:spacing w:before="8"/>
        <w:rPr>
          <w:rFonts w:asciiTheme="minorHAnsi" w:hAnsiTheme="minorHAnsi" w:cstheme="minorHAnsi"/>
        </w:rPr>
      </w:pPr>
    </w:p>
    <w:p w:rsidR="00290691" w:rsidRPr="00CD7D26" w:rsidRDefault="00F70FFA" w:rsidP="00CD7D26">
      <w:pPr>
        <w:pStyle w:val="BodyText"/>
        <w:spacing w:before="1" w:line="268" w:lineRule="exact"/>
        <w:ind w:left="120"/>
        <w:rPr>
          <w:rFonts w:asciiTheme="minorHAnsi" w:hAnsiTheme="minorHAnsi" w:cstheme="minorHAnsi"/>
        </w:rPr>
      </w:pPr>
      <w:r w:rsidRPr="00CD7D26">
        <w:rPr>
          <w:rFonts w:asciiTheme="minorHAnsi" w:hAnsiTheme="minorHAnsi" w:cstheme="minorHAnsi"/>
        </w:rPr>
        <w:t>The following job classifications and/or assignments are in this</w:t>
      </w:r>
      <w:r w:rsidRPr="00CD7D26">
        <w:rPr>
          <w:rFonts w:asciiTheme="minorHAnsi" w:hAnsiTheme="minorHAnsi" w:cstheme="minorHAnsi"/>
          <w:spacing w:val="-16"/>
        </w:rPr>
        <w:t xml:space="preserve"> </w:t>
      </w:r>
      <w:r w:rsidRPr="00CD7D26">
        <w:rPr>
          <w:rFonts w:asciiTheme="minorHAnsi" w:hAnsiTheme="minorHAnsi" w:cstheme="minorHAnsi"/>
        </w:rPr>
        <w:t>category:</w:t>
      </w:r>
      <w:r w:rsidR="00CD7D26">
        <w:rPr>
          <w:rFonts w:asciiTheme="minorHAnsi" w:hAnsiTheme="minorHAnsi" w:cstheme="minorHAnsi"/>
        </w:rPr>
        <w:t xml:space="preserve">  </w:t>
      </w:r>
      <w:r w:rsidRPr="00CD7D26">
        <w:rPr>
          <w:rFonts w:asciiTheme="minorHAnsi" w:hAnsiTheme="minorHAnsi" w:cstheme="minorHAnsi"/>
        </w:rPr>
        <w:t xml:space="preserve">Education and program specialists, </w:t>
      </w:r>
      <w:proofErr w:type="gramStart"/>
      <w:r w:rsidRPr="00CD7D26">
        <w:rPr>
          <w:rFonts w:asciiTheme="minorHAnsi" w:hAnsiTheme="minorHAnsi" w:cstheme="minorHAnsi"/>
        </w:rPr>
        <w:t>instructional  assistants</w:t>
      </w:r>
      <w:proofErr w:type="gramEnd"/>
      <w:r w:rsidRPr="00CD7D26">
        <w:rPr>
          <w:rFonts w:asciiTheme="minorHAnsi" w:hAnsiTheme="minorHAnsi" w:cstheme="minorHAnsi"/>
        </w:rPr>
        <w:t>,  clerical  staff assigned to a school site, school psychologists, site administrators, speech therapists, school nurses and teachers (classroom and</w:t>
      </w:r>
      <w:r w:rsidRPr="00CD7D26">
        <w:rPr>
          <w:rFonts w:asciiTheme="minorHAnsi" w:hAnsiTheme="minorHAnsi" w:cstheme="minorHAnsi"/>
          <w:spacing w:val="-4"/>
        </w:rPr>
        <w:t xml:space="preserve"> </w:t>
      </w:r>
      <w:r w:rsidRPr="00CD7D26">
        <w:rPr>
          <w:rFonts w:asciiTheme="minorHAnsi" w:hAnsiTheme="minorHAnsi" w:cstheme="minorHAnsi"/>
        </w:rPr>
        <w:t>itinerant).</w:t>
      </w:r>
    </w:p>
    <w:p w:rsidR="00290691" w:rsidRPr="00CD7D26" w:rsidRDefault="00290691">
      <w:pPr>
        <w:pStyle w:val="BodyText"/>
        <w:spacing w:before="9"/>
        <w:rPr>
          <w:rFonts w:asciiTheme="minorHAnsi" w:hAnsiTheme="minorHAnsi" w:cstheme="minorHAnsi"/>
        </w:rPr>
      </w:pPr>
    </w:p>
    <w:p w:rsidR="00290691" w:rsidRPr="00CD7D26" w:rsidRDefault="00F70FFA">
      <w:pPr>
        <w:pStyle w:val="BodyText"/>
        <w:spacing w:line="225" w:lineRule="auto"/>
        <w:ind w:left="119" w:right="116"/>
        <w:jc w:val="both"/>
        <w:rPr>
          <w:rFonts w:asciiTheme="minorHAnsi" w:hAnsiTheme="minorHAnsi" w:cstheme="minorHAnsi"/>
        </w:rPr>
      </w:pPr>
      <w:r w:rsidRPr="00CD7D26">
        <w:rPr>
          <w:rFonts w:asciiTheme="minorHAnsi" w:hAnsiTheme="minorHAnsi" w:cstheme="minorHAnsi"/>
        </w:rPr>
        <w:t xml:space="preserve">Individuals employed as substitutes for any of the positions listed above would be included in this classification. Therefore, for purposes of administering the Central Substitute System for local districts all certificated teachers </w:t>
      </w:r>
      <w:proofErr w:type="gramStart"/>
      <w:r w:rsidRPr="00CD7D26">
        <w:rPr>
          <w:rFonts w:asciiTheme="minorHAnsi" w:hAnsiTheme="minorHAnsi" w:cstheme="minorHAnsi"/>
        </w:rPr>
        <w:t>will be considered</w:t>
      </w:r>
      <w:proofErr w:type="gramEnd"/>
      <w:r w:rsidRPr="00CD7D26">
        <w:rPr>
          <w:rFonts w:asciiTheme="minorHAnsi" w:hAnsiTheme="minorHAnsi" w:cstheme="minorHAnsi"/>
        </w:rPr>
        <w:t xml:space="preserve"> Exposure Category 1.</w:t>
      </w:r>
    </w:p>
    <w:p w:rsidR="00290691" w:rsidRPr="00CD7D26" w:rsidRDefault="00290691">
      <w:pPr>
        <w:pStyle w:val="BodyText"/>
        <w:spacing w:before="9"/>
        <w:rPr>
          <w:rFonts w:asciiTheme="minorHAnsi" w:hAnsiTheme="minorHAnsi" w:cstheme="minorHAnsi"/>
        </w:rPr>
      </w:pPr>
    </w:p>
    <w:p w:rsidR="00290691" w:rsidRPr="00CD7D26" w:rsidRDefault="00F70FFA">
      <w:pPr>
        <w:spacing w:line="225" w:lineRule="auto"/>
        <w:ind w:left="120" w:right="115"/>
        <w:jc w:val="both"/>
        <w:rPr>
          <w:rFonts w:asciiTheme="minorHAnsi" w:hAnsiTheme="minorHAnsi" w:cstheme="minorHAnsi"/>
          <w:sz w:val="24"/>
          <w:szCs w:val="24"/>
        </w:rPr>
      </w:pPr>
      <w:r w:rsidRPr="00CD7D26">
        <w:rPr>
          <w:rFonts w:asciiTheme="minorHAnsi" w:hAnsiTheme="minorHAnsi" w:cstheme="minorHAnsi"/>
          <w:sz w:val="24"/>
          <w:szCs w:val="24"/>
        </w:rPr>
        <w:t xml:space="preserve">All certificated substitute teachers who enroll in the SCOE Central Substitute System are required to either receive the Hepatitis B vaccination series or sign the </w:t>
      </w:r>
      <w:r w:rsidRPr="00CD7D26">
        <w:rPr>
          <w:rFonts w:asciiTheme="minorHAnsi" w:hAnsiTheme="minorHAnsi" w:cstheme="minorHAnsi"/>
          <w:b/>
          <w:i/>
          <w:sz w:val="24"/>
          <w:szCs w:val="24"/>
        </w:rPr>
        <w:t xml:space="preserve">Hepatitis B Vaccination Election/Declination </w:t>
      </w:r>
      <w:r w:rsidRPr="00CD7D26">
        <w:rPr>
          <w:rFonts w:asciiTheme="minorHAnsi" w:hAnsiTheme="minorHAnsi" w:cstheme="minorHAnsi"/>
          <w:sz w:val="24"/>
          <w:szCs w:val="24"/>
        </w:rPr>
        <w:t>form.</w:t>
      </w:r>
    </w:p>
    <w:p w:rsidR="00290691" w:rsidRPr="00CD7D26" w:rsidRDefault="00290691">
      <w:pPr>
        <w:pStyle w:val="BodyText"/>
        <w:spacing w:before="7"/>
        <w:rPr>
          <w:rFonts w:asciiTheme="minorHAnsi" w:hAnsiTheme="minorHAnsi" w:cstheme="minorHAnsi"/>
        </w:rPr>
      </w:pPr>
    </w:p>
    <w:p w:rsidR="00290691" w:rsidRDefault="00F70FFA">
      <w:pPr>
        <w:pStyle w:val="Heading1"/>
        <w:spacing w:before="1" w:line="268" w:lineRule="exact"/>
        <w:rPr>
          <w:rFonts w:asciiTheme="minorHAnsi" w:hAnsiTheme="minorHAnsi" w:cstheme="minorHAnsi"/>
          <w:u w:val="thick"/>
        </w:rPr>
      </w:pPr>
      <w:r w:rsidRPr="00CD7D26">
        <w:rPr>
          <w:rFonts w:asciiTheme="minorHAnsi" w:hAnsiTheme="minorHAnsi" w:cstheme="minorHAnsi"/>
          <w:u w:val="thick"/>
        </w:rPr>
        <w:t>SUBSTITUTES IN THE SCOE CENTRAL SUBSTITUTE SYSTEM</w:t>
      </w:r>
    </w:p>
    <w:p w:rsidR="00CD7D26" w:rsidRPr="00CD7D26" w:rsidRDefault="00CD7D26">
      <w:pPr>
        <w:pStyle w:val="Heading1"/>
        <w:spacing w:before="1" w:line="268" w:lineRule="exact"/>
        <w:rPr>
          <w:rFonts w:asciiTheme="minorHAnsi" w:hAnsiTheme="minorHAnsi" w:cstheme="minorHAnsi"/>
        </w:rPr>
      </w:pPr>
    </w:p>
    <w:p w:rsidR="00290691" w:rsidRPr="00CD7D26" w:rsidRDefault="00F70FFA">
      <w:pPr>
        <w:pStyle w:val="ListParagraph"/>
        <w:numPr>
          <w:ilvl w:val="0"/>
          <w:numId w:val="2"/>
        </w:numPr>
        <w:tabs>
          <w:tab w:val="left" w:pos="1021"/>
        </w:tabs>
        <w:spacing w:before="5" w:line="225" w:lineRule="auto"/>
        <w:ind w:hanging="540"/>
        <w:jc w:val="both"/>
        <w:rPr>
          <w:rFonts w:asciiTheme="minorHAnsi" w:hAnsiTheme="minorHAnsi" w:cstheme="minorHAnsi"/>
          <w:sz w:val="24"/>
          <w:szCs w:val="24"/>
        </w:rPr>
      </w:pPr>
      <w:r w:rsidRPr="00CD7D26">
        <w:rPr>
          <w:rFonts w:asciiTheme="minorHAnsi" w:hAnsiTheme="minorHAnsi" w:cstheme="minorHAnsi"/>
          <w:sz w:val="24"/>
          <w:szCs w:val="24"/>
        </w:rPr>
        <w:t xml:space="preserve">If you have already received the Hepatitis B vaccination, please indicate this on the </w:t>
      </w:r>
      <w:r w:rsidRPr="00CD7D26">
        <w:rPr>
          <w:rFonts w:asciiTheme="minorHAnsi" w:hAnsiTheme="minorHAnsi" w:cstheme="minorHAnsi"/>
          <w:b/>
          <w:i/>
          <w:sz w:val="24"/>
          <w:szCs w:val="24"/>
        </w:rPr>
        <w:t xml:space="preserve">Hepatitis B Vaccination Election/Declination </w:t>
      </w:r>
      <w:r w:rsidRPr="00CD7D26">
        <w:rPr>
          <w:rFonts w:asciiTheme="minorHAnsi" w:hAnsiTheme="minorHAnsi" w:cstheme="minorHAnsi"/>
          <w:sz w:val="24"/>
          <w:szCs w:val="24"/>
        </w:rPr>
        <w:t>form and submit proof of completion to the Credentials</w:t>
      </w:r>
      <w:r w:rsidRPr="00CD7D26">
        <w:rPr>
          <w:rFonts w:asciiTheme="minorHAnsi" w:hAnsiTheme="minorHAnsi" w:cstheme="minorHAnsi"/>
          <w:spacing w:val="-1"/>
          <w:sz w:val="24"/>
          <w:szCs w:val="24"/>
        </w:rPr>
        <w:t xml:space="preserve"> </w:t>
      </w:r>
      <w:r w:rsidRPr="00CD7D26">
        <w:rPr>
          <w:rFonts w:asciiTheme="minorHAnsi" w:hAnsiTheme="minorHAnsi" w:cstheme="minorHAnsi"/>
          <w:sz w:val="24"/>
          <w:szCs w:val="24"/>
        </w:rPr>
        <w:t>Office.</w:t>
      </w:r>
    </w:p>
    <w:p w:rsidR="00290691" w:rsidRPr="00CD7D26" w:rsidRDefault="00290691">
      <w:pPr>
        <w:pStyle w:val="BodyText"/>
        <w:spacing w:before="9"/>
        <w:rPr>
          <w:rFonts w:asciiTheme="minorHAnsi" w:hAnsiTheme="minorHAnsi" w:cstheme="minorHAnsi"/>
        </w:rPr>
      </w:pPr>
    </w:p>
    <w:p w:rsidR="00290691" w:rsidRPr="00CD7D26" w:rsidRDefault="00F70FFA">
      <w:pPr>
        <w:pStyle w:val="ListParagraph"/>
        <w:numPr>
          <w:ilvl w:val="0"/>
          <w:numId w:val="2"/>
        </w:numPr>
        <w:tabs>
          <w:tab w:val="left" w:pos="1021"/>
        </w:tabs>
        <w:spacing w:line="225" w:lineRule="auto"/>
        <w:ind w:right="120" w:hanging="540"/>
        <w:jc w:val="both"/>
        <w:rPr>
          <w:rFonts w:asciiTheme="minorHAnsi" w:hAnsiTheme="minorHAnsi" w:cstheme="minorHAnsi"/>
          <w:sz w:val="24"/>
          <w:szCs w:val="24"/>
        </w:rPr>
      </w:pPr>
      <w:r w:rsidRPr="00CD7D26">
        <w:rPr>
          <w:rFonts w:asciiTheme="minorHAnsi" w:hAnsiTheme="minorHAnsi" w:cstheme="minorHAnsi"/>
          <w:sz w:val="24"/>
          <w:szCs w:val="24"/>
        </w:rPr>
        <w:t xml:space="preserve">If you choose to decline to receive the Hepatitis B vaccinations, do so by indicating this on the </w:t>
      </w:r>
      <w:r w:rsidRPr="00CD7D26">
        <w:rPr>
          <w:rFonts w:asciiTheme="minorHAnsi" w:hAnsiTheme="minorHAnsi" w:cstheme="minorHAnsi"/>
          <w:b/>
          <w:i/>
          <w:sz w:val="24"/>
          <w:szCs w:val="24"/>
        </w:rPr>
        <w:t>Hepatitis B Vaccination Election/Declination</w:t>
      </w:r>
      <w:r w:rsidRPr="00CD7D26">
        <w:rPr>
          <w:rFonts w:asciiTheme="minorHAnsi" w:hAnsiTheme="minorHAnsi" w:cstheme="minorHAnsi"/>
          <w:b/>
          <w:i/>
          <w:spacing w:val="-10"/>
          <w:sz w:val="24"/>
          <w:szCs w:val="24"/>
        </w:rPr>
        <w:t xml:space="preserve"> </w:t>
      </w:r>
      <w:r w:rsidRPr="00CD7D26">
        <w:rPr>
          <w:rFonts w:asciiTheme="minorHAnsi" w:hAnsiTheme="minorHAnsi" w:cstheme="minorHAnsi"/>
          <w:sz w:val="24"/>
          <w:szCs w:val="24"/>
        </w:rPr>
        <w:t>form.</w:t>
      </w:r>
    </w:p>
    <w:p w:rsidR="00290691" w:rsidRPr="00CD7D26" w:rsidRDefault="00290691">
      <w:pPr>
        <w:pStyle w:val="BodyText"/>
        <w:spacing w:before="8"/>
        <w:rPr>
          <w:rFonts w:asciiTheme="minorHAnsi" w:hAnsiTheme="minorHAnsi" w:cstheme="minorHAnsi"/>
        </w:rPr>
      </w:pPr>
    </w:p>
    <w:p w:rsidR="00290691" w:rsidRPr="00CD7D26" w:rsidRDefault="00F70FFA">
      <w:pPr>
        <w:pStyle w:val="ListParagraph"/>
        <w:numPr>
          <w:ilvl w:val="0"/>
          <w:numId w:val="2"/>
        </w:numPr>
        <w:tabs>
          <w:tab w:val="left" w:pos="1021"/>
        </w:tabs>
        <w:spacing w:line="225" w:lineRule="auto"/>
        <w:ind w:right="117" w:hanging="540"/>
        <w:jc w:val="both"/>
        <w:rPr>
          <w:rFonts w:asciiTheme="minorHAnsi" w:hAnsiTheme="minorHAnsi" w:cstheme="minorHAnsi"/>
          <w:sz w:val="24"/>
          <w:szCs w:val="24"/>
        </w:rPr>
      </w:pPr>
      <w:r w:rsidRPr="00CD7D26">
        <w:rPr>
          <w:rFonts w:asciiTheme="minorHAnsi" w:hAnsiTheme="minorHAnsi" w:cstheme="minorHAnsi"/>
          <w:sz w:val="24"/>
          <w:szCs w:val="24"/>
        </w:rPr>
        <w:t xml:space="preserve">If you actively substitute in a SCOE classroom, and you elect to receive the Hepatitis B Vaccine, please do so indicating this on the </w:t>
      </w:r>
      <w:r w:rsidRPr="00CD7D26">
        <w:rPr>
          <w:rFonts w:asciiTheme="minorHAnsi" w:hAnsiTheme="minorHAnsi" w:cstheme="minorHAnsi"/>
          <w:b/>
          <w:i/>
          <w:sz w:val="24"/>
          <w:szCs w:val="24"/>
        </w:rPr>
        <w:t xml:space="preserve">Hepatitis B Vaccination Election/Declination </w:t>
      </w:r>
      <w:r w:rsidRPr="00CD7D26">
        <w:rPr>
          <w:rFonts w:asciiTheme="minorHAnsi" w:hAnsiTheme="minorHAnsi" w:cstheme="minorHAnsi"/>
          <w:sz w:val="24"/>
          <w:szCs w:val="24"/>
        </w:rPr>
        <w:t xml:space="preserve">form. Once the series </w:t>
      </w:r>
      <w:proofErr w:type="gramStart"/>
      <w:r w:rsidRPr="00CD7D26">
        <w:rPr>
          <w:rFonts w:asciiTheme="minorHAnsi" w:hAnsiTheme="minorHAnsi" w:cstheme="minorHAnsi"/>
          <w:sz w:val="24"/>
          <w:szCs w:val="24"/>
        </w:rPr>
        <w:t>has been completed</w:t>
      </w:r>
      <w:proofErr w:type="gramEnd"/>
      <w:r w:rsidRPr="00CD7D26">
        <w:rPr>
          <w:rFonts w:asciiTheme="minorHAnsi" w:hAnsiTheme="minorHAnsi" w:cstheme="minorHAnsi"/>
          <w:sz w:val="24"/>
          <w:szCs w:val="24"/>
        </w:rPr>
        <w:t xml:space="preserve"> and you have provided proof of completion to the Credentials Office, you will be reimbursed for the three-shot</w:t>
      </w:r>
      <w:r w:rsidRPr="00CD7D26">
        <w:rPr>
          <w:rFonts w:asciiTheme="minorHAnsi" w:hAnsiTheme="minorHAnsi" w:cstheme="minorHAnsi"/>
          <w:spacing w:val="-1"/>
          <w:sz w:val="24"/>
          <w:szCs w:val="24"/>
        </w:rPr>
        <w:t xml:space="preserve"> </w:t>
      </w:r>
      <w:r w:rsidRPr="00CD7D26">
        <w:rPr>
          <w:rFonts w:asciiTheme="minorHAnsi" w:hAnsiTheme="minorHAnsi" w:cstheme="minorHAnsi"/>
          <w:sz w:val="24"/>
          <w:szCs w:val="24"/>
        </w:rPr>
        <w:t>series.</w:t>
      </w:r>
    </w:p>
    <w:p w:rsidR="00290691" w:rsidRPr="00CD7D26" w:rsidRDefault="00290691">
      <w:pPr>
        <w:pStyle w:val="BodyText"/>
        <w:spacing w:before="10"/>
        <w:rPr>
          <w:rFonts w:asciiTheme="minorHAnsi" w:hAnsiTheme="minorHAnsi" w:cstheme="minorHAnsi"/>
        </w:rPr>
      </w:pPr>
    </w:p>
    <w:p w:rsidR="00290691" w:rsidRPr="00CD7D26" w:rsidRDefault="00F70FFA">
      <w:pPr>
        <w:pStyle w:val="ListParagraph"/>
        <w:numPr>
          <w:ilvl w:val="0"/>
          <w:numId w:val="2"/>
        </w:numPr>
        <w:tabs>
          <w:tab w:val="left" w:pos="1021"/>
        </w:tabs>
        <w:spacing w:line="225" w:lineRule="auto"/>
        <w:ind w:hanging="540"/>
        <w:jc w:val="both"/>
        <w:rPr>
          <w:rFonts w:asciiTheme="minorHAnsi" w:hAnsiTheme="minorHAnsi" w:cstheme="minorHAnsi"/>
          <w:sz w:val="24"/>
          <w:szCs w:val="24"/>
        </w:rPr>
      </w:pPr>
      <w:r w:rsidRPr="00CD7D26">
        <w:rPr>
          <w:rFonts w:asciiTheme="minorHAnsi" w:hAnsiTheme="minorHAnsi" w:cstheme="minorHAnsi"/>
          <w:sz w:val="24"/>
          <w:szCs w:val="24"/>
        </w:rPr>
        <w:t xml:space="preserve">If you actively substitute in the county and </w:t>
      </w:r>
      <w:r w:rsidRPr="00CD7D26">
        <w:rPr>
          <w:rFonts w:asciiTheme="minorHAnsi" w:hAnsiTheme="minorHAnsi" w:cstheme="minorHAnsi"/>
          <w:sz w:val="24"/>
          <w:szCs w:val="24"/>
          <w:u w:val="single"/>
        </w:rPr>
        <w:t>do not</w:t>
      </w:r>
      <w:r w:rsidRPr="00CD7D26">
        <w:rPr>
          <w:rFonts w:asciiTheme="minorHAnsi" w:hAnsiTheme="minorHAnsi" w:cstheme="minorHAnsi"/>
          <w:sz w:val="24"/>
          <w:szCs w:val="24"/>
        </w:rPr>
        <w:t xml:space="preserve"> sub for </w:t>
      </w:r>
      <w:proofErr w:type="gramStart"/>
      <w:r w:rsidRPr="00CD7D26">
        <w:rPr>
          <w:rFonts w:asciiTheme="minorHAnsi" w:hAnsiTheme="minorHAnsi" w:cstheme="minorHAnsi"/>
          <w:sz w:val="24"/>
          <w:szCs w:val="24"/>
        </w:rPr>
        <w:t>SCOE</w:t>
      </w:r>
      <w:proofErr w:type="gramEnd"/>
      <w:r w:rsidRPr="00CD7D26">
        <w:rPr>
          <w:rFonts w:asciiTheme="minorHAnsi" w:hAnsiTheme="minorHAnsi" w:cstheme="minorHAnsi"/>
          <w:sz w:val="24"/>
          <w:szCs w:val="24"/>
        </w:rPr>
        <w:t xml:space="preserve"> you may elect to receive the Hepatitis B Vaccine, please do so indicating this on the </w:t>
      </w:r>
      <w:r w:rsidRPr="00CD7D26">
        <w:rPr>
          <w:rFonts w:asciiTheme="minorHAnsi" w:hAnsiTheme="minorHAnsi" w:cstheme="minorHAnsi"/>
          <w:b/>
          <w:i/>
          <w:sz w:val="24"/>
          <w:szCs w:val="24"/>
        </w:rPr>
        <w:t xml:space="preserve">Hepatitis B Vaccination Election/Declination </w:t>
      </w:r>
      <w:r w:rsidRPr="00CD7D26">
        <w:rPr>
          <w:rFonts w:asciiTheme="minorHAnsi" w:hAnsiTheme="minorHAnsi" w:cstheme="minorHAnsi"/>
          <w:sz w:val="24"/>
          <w:szCs w:val="24"/>
        </w:rPr>
        <w:t xml:space="preserve">form. Once the series </w:t>
      </w:r>
      <w:proofErr w:type="gramStart"/>
      <w:r w:rsidRPr="00CD7D26">
        <w:rPr>
          <w:rFonts w:asciiTheme="minorHAnsi" w:hAnsiTheme="minorHAnsi" w:cstheme="minorHAnsi"/>
          <w:sz w:val="24"/>
          <w:szCs w:val="24"/>
        </w:rPr>
        <w:t>has been completed</w:t>
      </w:r>
      <w:proofErr w:type="gramEnd"/>
      <w:r w:rsidRPr="00CD7D26">
        <w:rPr>
          <w:rFonts w:asciiTheme="minorHAnsi" w:hAnsiTheme="minorHAnsi" w:cstheme="minorHAnsi"/>
          <w:sz w:val="24"/>
          <w:szCs w:val="24"/>
        </w:rPr>
        <w:t xml:space="preserve"> and you have provided proof of completion to the Credentials Office, you will be reimbursed for the cost of the third</w:t>
      </w:r>
      <w:r w:rsidRPr="00CD7D26">
        <w:rPr>
          <w:rFonts w:asciiTheme="minorHAnsi" w:hAnsiTheme="minorHAnsi" w:cstheme="minorHAnsi"/>
          <w:spacing w:val="-2"/>
          <w:sz w:val="24"/>
          <w:szCs w:val="24"/>
        </w:rPr>
        <w:t xml:space="preserve"> </w:t>
      </w:r>
      <w:r w:rsidRPr="00CD7D26">
        <w:rPr>
          <w:rFonts w:asciiTheme="minorHAnsi" w:hAnsiTheme="minorHAnsi" w:cstheme="minorHAnsi"/>
          <w:sz w:val="24"/>
          <w:szCs w:val="24"/>
        </w:rPr>
        <w:t>vaccination.</w:t>
      </w:r>
    </w:p>
    <w:p w:rsidR="00290691" w:rsidRPr="00CD7D26" w:rsidRDefault="00290691">
      <w:pPr>
        <w:pStyle w:val="BodyText"/>
        <w:spacing w:before="10"/>
        <w:rPr>
          <w:rFonts w:asciiTheme="minorHAnsi" w:hAnsiTheme="minorHAnsi" w:cstheme="minorHAnsi"/>
        </w:rPr>
      </w:pPr>
    </w:p>
    <w:p w:rsidR="00290691" w:rsidRPr="00CD7D26" w:rsidRDefault="00F70FFA">
      <w:pPr>
        <w:pStyle w:val="BodyText"/>
        <w:spacing w:line="225" w:lineRule="auto"/>
        <w:ind w:left="120"/>
        <w:rPr>
          <w:rFonts w:asciiTheme="minorHAnsi" w:hAnsiTheme="minorHAnsi" w:cstheme="minorHAnsi"/>
        </w:rPr>
      </w:pPr>
      <w:r w:rsidRPr="00CD7D26">
        <w:rPr>
          <w:rFonts w:asciiTheme="minorHAnsi" w:hAnsiTheme="minorHAnsi" w:cstheme="minorHAnsi"/>
        </w:rPr>
        <w:t xml:space="preserve">For further </w:t>
      </w:r>
      <w:proofErr w:type="gramStart"/>
      <w:r w:rsidRPr="00CD7D26">
        <w:rPr>
          <w:rFonts w:asciiTheme="minorHAnsi" w:hAnsiTheme="minorHAnsi" w:cstheme="minorHAnsi"/>
        </w:rPr>
        <w:t>information</w:t>
      </w:r>
      <w:proofErr w:type="gramEnd"/>
      <w:r w:rsidR="00CD7D26">
        <w:rPr>
          <w:rFonts w:asciiTheme="minorHAnsi" w:hAnsiTheme="minorHAnsi" w:cstheme="minorHAnsi"/>
        </w:rPr>
        <w:t xml:space="preserve"> you may contact Human Resource Services</w:t>
      </w:r>
      <w:r w:rsidRPr="00CD7D26">
        <w:rPr>
          <w:rFonts w:asciiTheme="minorHAnsi" w:hAnsiTheme="minorHAnsi" w:cstheme="minorHAnsi"/>
        </w:rPr>
        <w:t xml:space="preserve"> or one of the SCOE Nurses listed on page 2.</w:t>
      </w:r>
    </w:p>
    <w:p w:rsidR="00290691" w:rsidRPr="00CD7D26" w:rsidRDefault="00290691">
      <w:pPr>
        <w:spacing w:line="225" w:lineRule="auto"/>
        <w:rPr>
          <w:rFonts w:asciiTheme="minorHAnsi" w:hAnsiTheme="minorHAnsi" w:cstheme="minorHAnsi"/>
          <w:sz w:val="24"/>
          <w:szCs w:val="24"/>
        </w:rPr>
        <w:sectPr w:rsidR="00290691" w:rsidRPr="00CD7D26" w:rsidSect="00CD7D26">
          <w:type w:val="continuous"/>
          <w:pgSz w:w="12240" w:h="15840"/>
          <w:pgMar w:top="1440" w:right="1080" w:bottom="1440" w:left="1080" w:header="720" w:footer="720" w:gutter="0"/>
          <w:cols w:space="720"/>
          <w:docGrid w:linePitch="299"/>
        </w:sectPr>
      </w:pPr>
    </w:p>
    <w:p w:rsidR="00290691" w:rsidRPr="00CD7D26" w:rsidRDefault="00F70FFA">
      <w:pPr>
        <w:pStyle w:val="Heading1"/>
        <w:spacing w:before="90"/>
        <w:rPr>
          <w:rFonts w:asciiTheme="minorHAnsi" w:hAnsiTheme="minorHAnsi" w:cstheme="minorHAnsi"/>
        </w:rPr>
      </w:pPr>
      <w:r w:rsidRPr="00CD7D26">
        <w:rPr>
          <w:rFonts w:asciiTheme="minorHAnsi" w:hAnsiTheme="minorHAnsi" w:cstheme="minorHAnsi"/>
        </w:rPr>
        <w:lastRenderedPageBreak/>
        <w:t>Work Area Restrictions for Substitutes</w:t>
      </w:r>
    </w:p>
    <w:p w:rsidR="00290691" w:rsidRPr="00CD7D26" w:rsidRDefault="00290691">
      <w:pPr>
        <w:pStyle w:val="BodyText"/>
        <w:spacing w:before="4"/>
        <w:rPr>
          <w:rFonts w:asciiTheme="minorHAnsi" w:hAnsiTheme="minorHAnsi" w:cstheme="minorHAnsi"/>
          <w:b/>
        </w:rPr>
      </w:pPr>
    </w:p>
    <w:p w:rsidR="00290691" w:rsidRPr="00CD7D26" w:rsidRDefault="00F70FFA">
      <w:pPr>
        <w:pStyle w:val="BodyText"/>
        <w:spacing w:line="225" w:lineRule="auto"/>
        <w:ind w:left="119" w:right="117"/>
        <w:jc w:val="both"/>
        <w:rPr>
          <w:rFonts w:asciiTheme="minorHAnsi" w:hAnsiTheme="minorHAnsi" w:cstheme="minorHAnsi"/>
        </w:rPr>
      </w:pPr>
      <w:r w:rsidRPr="00CD7D26">
        <w:rPr>
          <w:rFonts w:asciiTheme="minorHAnsi" w:hAnsiTheme="minorHAnsi" w:cstheme="minorHAnsi"/>
        </w:rPr>
        <w:t>For your protection, it is highly recommended that when you are working for a district you refrain from eating, drinking, applying cosmetics or lip balm, and handling contact lenses in areas where occupational exposure may be expected.</w:t>
      </w:r>
    </w:p>
    <w:p w:rsidR="00290691" w:rsidRPr="00CD7D26" w:rsidRDefault="00290691">
      <w:pPr>
        <w:pStyle w:val="BodyText"/>
        <w:spacing w:before="9"/>
        <w:rPr>
          <w:rFonts w:asciiTheme="minorHAnsi" w:hAnsiTheme="minorHAnsi" w:cstheme="minorHAnsi"/>
        </w:rPr>
      </w:pPr>
    </w:p>
    <w:p w:rsidR="00290691" w:rsidRPr="00CD7D26" w:rsidRDefault="00F70FFA">
      <w:pPr>
        <w:pStyle w:val="BodyText"/>
        <w:spacing w:line="225" w:lineRule="auto"/>
        <w:ind w:left="120" w:right="115"/>
        <w:jc w:val="both"/>
        <w:rPr>
          <w:rFonts w:asciiTheme="minorHAnsi" w:hAnsiTheme="minorHAnsi" w:cstheme="minorHAnsi"/>
        </w:rPr>
      </w:pPr>
      <w:r w:rsidRPr="00CD7D26">
        <w:rPr>
          <w:rFonts w:asciiTheme="minorHAnsi" w:hAnsiTheme="minorHAnsi" w:cstheme="minorHAnsi"/>
        </w:rPr>
        <w:t xml:space="preserve">Please be advised that food preparation </w:t>
      </w:r>
      <w:proofErr w:type="gramStart"/>
      <w:r w:rsidRPr="00CD7D26">
        <w:rPr>
          <w:rFonts w:asciiTheme="minorHAnsi" w:hAnsiTheme="minorHAnsi" w:cstheme="minorHAnsi"/>
        </w:rPr>
        <w:t>cannot be performed</w:t>
      </w:r>
      <w:proofErr w:type="gramEnd"/>
      <w:r w:rsidRPr="00CD7D26">
        <w:rPr>
          <w:rFonts w:asciiTheme="minorHAnsi" w:hAnsiTheme="minorHAnsi" w:cstheme="minorHAnsi"/>
        </w:rPr>
        <w:t xml:space="preserve"> in an area or on a surface where contamination has occurred. In the event an employee sustains an injury in which blood or potentially infectious materials is present, he/she shall remove himself/herself from food preparation.</w:t>
      </w:r>
    </w:p>
    <w:p w:rsidR="00290691" w:rsidRPr="00CD7D26" w:rsidRDefault="00290691">
      <w:pPr>
        <w:pStyle w:val="BodyText"/>
        <w:spacing w:before="9"/>
        <w:rPr>
          <w:rFonts w:asciiTheme="minorHAnsi" w:hAnsiTheme="minorHAnsi" w:cstheme="minorHAnsi"/>
        </w:rPr>
      </w:pPr>
    </w:p>
    <w:p w:rsidR="00290691" w:rsidRPr="00CD7D26" w:rsidRDefault="00F70FFA">
      <w:pPr>
        <w:pStyle w:val="BodyText"/>
        <w:spacing w:line="225" w:lineRule="auto"/>
        <w:ind w:left="119" w:right="117"/>
        <w:jc w:val="both"/>
        <w:rPr>
          <w:rFonts w:asciiTheme="minorHAnsi" w:hAnsiTheme="minorHAnsi" w:cstheme="minorHAnsi"/>
        </w:rPr>
      </w:pPr>
      <w:r w:rsidRPr="00CD7D26">
        <w:rPr>
          <w:rFonts w:asciiTheme="minorHAnsi" w:hAnsiTheme="minorHAnsi" w:cstheme="minorHAnsi"/>
        </w:rPr>
        <w:t xml:space="preserve">Food and drink </w:t>
      </w:r>
      <w:proofErr w:type="gramStart"/>
      <w:r w:rsidRPr="00CD7D26">
        <w:rPr>
          <w:rFonts w:asciiTheme="minorHAnsi" w:hAnsiTheme="minorHAnsi" w:cstheme="minorHAnsi"/>
        </w:rPr>
        <w:t>cannot be kept</w:t>
      </w:r>
      <w:proofErr w:type="gramEnd"/>
      <w:r w:rsidRPr="00CD7D26">
        <w:rPr>
          <w:rFonts w:asciiTheme="minorHAnsi" w:hAnsiTheme="minorHAnsi" w:cstheme="minorHAnsi"/>
        </w:rPr>
        <w:t xml:space="preserve"> in refrigerators, freezers, or cabinets or on shelves, countertops, or bench tops where blood products or other body fluids are present.</w:t>
      </w:r>
    </w:p>
    <w:p w:rsidR="00290691" w:rsidRPr="00CD7D26" w:rsidRDefault="00290691">
      <w:pPr>
        <w:pStyle w:val="BodyText"/>
        <w:spacing w:before="8"/>
        <w:rPr>
          <w:rFonts w:asciiTheme="minorHAnsi" w:hAnsiTheme="minorHAnsi" w:cstheme="minorHAnsi"/>
        </w:rPr>
      </w:pPr>
    </w:p>
    <w:p w:rsidR="00290691" w:rsidRPr="00CD7D26" w:rsidRDefault="00F70FFA">
      <w:pPr>
        <w:spacing w:line="225" w:lineRule="auto"/>
        <w:ind w:left="120" w:right="115"/>
        <w:jc w:val="both"/>
        <w:rPr>
          <w:rFonts w:asciiTheme="minorHAnsi" w:hAnsiTheme="minorHAnsi" w:cstheme="minorHAnsi"/>
          <w:b/>
          <w:i/>
          <w:sz w:val="24"/>
          <w:szCs w:val="24"/>
        </w:rPr>
      </w:pPr>
      <w:r w:rsidRPr="00CD7D26">
        <w:rPr>
          <w:rFonts w:asciiTheme="minorHAnsi" w:hAnsiTheme="minorHAnsi" w:cstheme="minorHAnsi"/>
          <w:b/>
          <w:i/>
          <w:sz w:val="24"/>
          <w:szCs w:val="24"/>
        </w:rPr>
        <w:t>Note: Substitutes who are medically required to monitor their blood and/or self- administer injections, shall dispose of contaminated needles, sharps, and other materials only in containers designated for contaminated needles and sharps.</w:t>
      </w:r>
    </w:p>
    <w:p w:rsidR="00290691" w:rsidRPr="00CD7D26" w:rsidRDefault="00290691">
      <w:pPr>
        <w:pStyle w:val="BodyText"/>
        <w:rPr>
          <w:rFonts w:asciiTheme="minorHAnsi" w:hAnsiTheme="minorHAnsi" w:cstheme="minorHAnsi"/>
          <w:b/>
          <w:i/>
        </w:rPr>
      </w:pPr>
    </w:p>
    <w:p w:rsidR="00290691" w:rsidRPr="00CD7D26" w:rsidRDefault="00F70FFA">
      <w:pPr>
        <w:pStyle w:val="Heading1"/>
        <w:spacing w:line="192" w:lineRule="auto"/>
        <w:ind w:right="118"/>
        <w:jc w:val="both"/>
        <w:rPr>
          <w:rFonts w:asciiTheme="minorHAnsi" w:hAnsiTheme="minorHAnsi" w:cstheme="minorHAnsi"/>
        </w:rPr>
      </w:pPr>
      <w:r w:rsidRPr="00CD7D26">
        <w:rPr>
          <w:rFonts w:asciiTheme="minorHAnsi" w:hAnsiTheme="minorHAnsi" w:cstheme="minorHAnsi"/>
        </w:rPr>
        <w:t>Substitute Teacher's Responsibility to Obtain Additional Information from Employing District</w:t>
      </w:r>
    </w:p>
    <w:p w:rsidR="00290691" w:rsidRPr="00CD7D26" w:rsidRDefault="00F70FFA">
      <w:pPr>
        <w:pStyle w:val="BodyText"/>
        <w:spacing w:before="219" w:line="192" w:lineRule="auto"/>
        <w:ind w:left="120" w:right="115"/>
        <w:jc w:val="both"/>
        <w:rPr>
          <w:rFonts w:asciiTheme="minorHAnsi" w:hAnsiTheme="minorHAnsi" w:cstheme="minorHAnsi"/>
        </w:rPr>
      </w:pPr>
      <w:proofErr w:type="gramStart"/>
      <w:r w:rsidRPr="00CD7D26">
        <w:rPr>
          <w:rFonts w:asciiTheme="minorHAnsi" w:hAnsiTheme="minorHAnsi" w:cstheme="minorHAnsi"/>
        </w:rPr>
        <w:t>It is the responsibility of the substitute teacher to be familiar with the following information from the district for which they are working:</w:t>
      </w:r>
      <w:proofErr w:type="gramEnd"/>
    </w:p>
    <w:p w:rsidR="00290691" w:rsidRPr="00CD7D26" w:rsidRDefault="00F70FFA">
      <w:pPr>
        <w:pStyle w:val="ListParagraph"/>
        <w:numPr>
          <w:ilvl w:val="0"/>
          <w:numId w:val="1"/>
        </w:numPr>
        <w:tabs>
          <w:tab w:val="left" w:pos="1020"/>
          <w:tab w:val="left" w:pos="1021"/>
        </w:tabs>
        <w:spacing w:before="173"/>
        <w:ind w:right="0" w:hanging="540"/>
        <w:rPr>
          <w:rFonts w:asciiTheme="minorHAnsi" w:hAnsiTheme="minorHAnsi" w:cstheme="minorHAnsi"/>
          <w:sz w:val="24"/>
          <w:szCs w:val="24"/>
        </w:rPr>
      </w:pPr>
      <w:r w:rsidRPr="00CD7D26">
        <w:rPr>
          <w:rFonts w:asciiTheme="minorHAnsi" w:hAnsiTheme="minorHAnsi" w:cstheme="minorHAnsi"/>
          <w:sz w:val="24"/>
          <w:szCs w:val="24"/>
        </w:rPr>
        <w:t xml:space="preserve">The District's </w:t>
      </w:r>
      <w:proofErr w:type="spellStart"/>
      <w:r w:rsidRPr="00CD7D26">
        <w:rPr>
          <w:rFonts w:asciiTheme="minorHAnsi" w:hAnsiTheme="minorHAnsi" w:cstheme="minorHAnsi"/>
          <w:sz w:val="24"/>
          <w:szCs w:val="24"/>
        </w:rPr>
        <w:t>Bloodborne</w:t>
      </w:r>
      <w:proofErr w:type="spellEnd"/>
      <w:r w:rsidRPr="00CD7D26">
        <w:rPr>
          <w:rFonts w:asciiTheme="minorHAnsi" w:hAnsiTheme="minorHAnsi" w:cstheme="minorHAnsi"/>
          <w:sz w:val="24"/>
          <w:szCs w:val="24"/>
        </w:rPr>
        <w:t xml:space="preserve"> Pathogens policies and</w:t>
      </w:r>
      <w:r w:rsidRPr="00CD7D26">
        <w:rPr>
          <w:rFonts w:asciiTheme="minorHAnsi" w:hAnsiTheme="minorHAnsi" w:cstheme="minorHAnsi"/>
          <w:spacing w:val="-6"/>
          <w:sz w:val="24"/>
          <w:szCs w:val="24"/>
        </w:rPr>
        <w:t xml:space="preserve"> </w:t>
      </w:r>
      <w:r w:rsidRPr="00CD7D26">
        <w:rPr>
          <w:rFonts w:asciiTheme="minorHAnsi" w:hAnsiTheme="minorHAnsi" w:cstheme="minorHAnsi"/>
          <w:sz w:val="24"/>
          <w:szCs w:val="24"/>
        </w:rPr>
        <w:t>procedures;</w:t>
      </w:r>
    </w:p>
    <w:p w:rsidR="00290691" w:rsidRPr="00CD7D26" w:rsidRDefault="00F70FFA">
      <w:pPr>
        <w:pStyle w:val="ListParagraph"/>
        <w:numPr>
          <w:ilvl w:val="0"/>
          <w:numId w:val="1"/>
        </w:numPr>
        <w:tabs>
          <w:tab w:val="left" w:pos="1020"/>
          <w:tab w:val="left" w:pos="1021"/>
        </w:tabs>
        <w:spacing w:before="209" w:line="192" w:lineRule="auto"/>
        <w:ind w:hanging="540"/>
        <w:rPr>
          <w:rFonts w:asciiTheme="minorHAnsi" w:hAnsiTheme="minorHAnsi" w:cstheme="minorHAnsi"/>
          <w:sz w:val="24"/>
          <w:szCs w:val="24"/>
        </w:rPr>
      </w:pPr>
      <w:r w:rsidRPr="00CD7D26">
        <w:rPr>
          <w:rFonts w:asciiTheme="minorHAnsi" w:hAnsiTheme="minorHAnsi" w:cstheme="minorHAnsi"/>
          <w:sz w:val="24"/>
          <w:szCs w:val="24"/>
        </w:rPr>
        <w:t>The District's procedures for reporting a possible exposure and follow-up procedures, including, the District's injury report form, if</w:t>
      </w:r>
      <w:r w:rsidRPr="00CD7D26">
        <w:rPr>
          <w:rFonts w:asciiTheme="minorHAnsi" w:hAnsiTheme="minorHAnsi" w:cstheme="minorHAnsi"/>
          <w:spacing w:val="-12"/>
          <w:sz w:val="24"/>
          <w:szCs w:val="24"/>
        </w:rPr>
        <w:t xml:space="preserve"> </w:t>
      </w:r>
      <w:r w:rsidRPr="00CD7D26">
        <w:rPr>
          <w:rFonts w:asciiTheme="minorHAnsi" w:hAnsiTheme="minorHAnsi" w:cstheme="minorHAnsi"/>
          <w:sz w:val="24"/>
          <w:szCs w:val="24"/>
        </w:rPr>
        <w:t>any;</w:t>
      </w:r>
    </w:p>
    <w:p w:rsidR="00290691" w:rsidRPr="00CD7D26" w:rsidRDefault="00F70FFA">
      <w:pPr>
        <w:pStyle w:val="ListParagraph"/>
        <w:numPr>
          <w:ilvl w:val="0"/>
          <w:numId w:val="1"/>
        </w:numPr>
        <w:tabs>
          <w:tab w:val="left" w:pos="1020"/>
          <w:tab w:val="left" w:pos="1021"/>
        </w:tabs>
        <w:spacing w:before="174"/>
        <w:ind w:right="0" w:hanging="540"/>
        <w:rPr>
          <w:rFonts w:asciiTheme="minorHAnsi" w:hAnsiTheme="minorHAnsi" w:cstheme="minorHAnsi"/>
          <w:sz w:val="24"/>
          <w:szCs w:val="24"/>
        </w:rPr>
      </w:pPr>
      <w:proofErr w:type="spellStart"/>
      <w:r w:rsidRPr="00CD7D26">
        <w:rPr>
          <w:rFonts w:asciiTheme="minorHAnsi" w:hAnsiTheme="minorHAnsi" w:cstheme="minorHAnsi"/>
          <w:sz w:val="24"/>
          <w:szCs w:val="24"/>
        </w:rPr>
        <w:t>Bloodborne</w:t>
      </w:r>
      <w:proofErr w:type="spellEnd"/>
      <w:r w:rsidRPr="00CD7D26">
        <w:rPr>
          <w:rFonts w:asciiTheme="minorHAnsi" w:hAnsiTheme="minorHAnsi" w:cstheme="minorHAnsi"/>
          <w:sz w:val="24"/>
          <w:szCs w:val="24"/>
        </w:rPr>
        <w:t xml:space="preserve"> Pathogen training</w:t>
      </w:r>
      <w:r w:rsidRPr="00CD7D26">
        <w:rPr>
          <w:rFonts w:asciiTheme="minorHAnsi" w:hAnsiTheme="minorHAnsi" w:cstheme="minorHAnsi"/>
          <w:spacing w:val="-2"/>
          <w:sz w:val="24"/>
          <w:szCs w:val="24"/>
        </w:rPr>
        <w:t xml:space="preserve"> </w:t>
      </w:r>
      <w:r w:rsidRPr="00CD7D26">
        <w:rPr>
          <w:rFonts w:asciiTheme="minorHAnsi" w:hAnsiTheme="minorHAnsi" w:cstheme="minorHAnsi"/>
          <w:sz w:val="24"/>
          <w:szCs w:val="24"/>
        </w:rPr>
        <w:t>opportunities;</w:t>
      </w:r>
    </w:p>
    <w:p w:rsidR="00290691" w:rsidRPr="00CD7D26" w:rsidRDefault="00F70FFA">
      <w:pPr>
        <w:pStyle w:val="ListParagraph"/>
        <w:numPr>
          <w:ilvl w:val="0"/>
          <w:numId w:val="1"/>
        </w:numPr>
        <w:tabs>
          <w:tab w:val="left" w:pos="1020"/>
          <w:tab w:val="left" w:pos="1021"/>
        </w:tabs>
        <w:spacing w:before="209" w:line="192" w:lineRule="auto"/>
        <w:ind w:right="117" w:hanging="540"/>
        <w:rPr>
          <w:rFonts w:asciiTheme="minorHAnsi" w:hAnsiTheme="minorHAnsi" w:cstheme="minorHAnsi"/>
          <w:sz w:val="24"/>
          <w:szCs w:val="24"/>
        </w:rPr>
      </w:pPr>
      <w:r w:rsidRPr="00CD7D26">
        <w:rPr>
          <w:rFonts w:asciiTheme="minorHAnsi" w:hAnsiTheme="minorHAnsi" w:cstheme="minorHAnsi"/>
          <w:sz w:val="24"/>
          <w:szCs w:val="24"/>
        </w:rPr>
        <w:t>The District's explanation of signs, labels, and color-coding system for hazardous materials, including body fluids;</w:t>
      </w:r>
      <w:r w:rsidRPr="00CD7D26">
        <w:rPr>
          <w:rFonts w:asciiTheme="minorHAnsi" w:hAnsiTheme="minorHAnsi" w:cstheme="minorHAnsi"/>
          <w:spacing w:val="-6"/>
          <w:sz w:val="24"/>
          <w:szCs w:val="24"/>
        </w:rPr>
        <w:t xml:space="preserve"> </w:t>
      </w:r>
      <w:r w:rsidRPr="00CD7D26">
        <w:rPr>
          <w:rFonts w:asciiTheme="minorHAnsi" w:hAnsiTheme="minorHAnsi" w:cstheme="minorHAnsi"/>
          <w:sz w:val="24"/>
          <w:szCs w:val="24"/>
        </w:rPr>
        <w:t>and</w:t>
      </w:r>
    </w:p>
    <w:p w:rsidR="00290691" w:rsidRPr="00CD7D26" w:rsidRDefault="00F70FFA">
      <w:pPr>
        <w:pStyle w:val="ListParagraph"/>
        <w:numPr>
          <w:ilvl w:val="0"/>
          <w:numId w:val="1"/>
        </w:numPr>
        <w:tabs>
          <w:tab w:val="left" w:pos="1020"/>
          <w:tab w:val="left" w:pos="1021"/>
        </w:tabs>
        <w:spacing w:before="219" w:line="192" w:lineRule="auto"/>
        <w:ind w:right="117" w:hanging="540"/>
        <w:rPr>
          <w:rFonts w:asciiTheme="minorHAnsi" w:hAnsiTheme="minorHAnsi" w:cstheme="minorHAnsi"/>
          <w:sz w:val="24"/>
          <w:szCs w:val="24"/>
        </w:rPr>
      </w:pPr>
      <w:r w:rsidRPr="00CD7D26">
        <w:rPr>
          <w:rFonts w:asciiTheme="minorHAnsi" w:hAnsiTheme="minorHAnsi" w:cstheme="minorHAnsi"/>
          <w:sz w:val="24"/>
          <w:szCs w:val="24"/>
        </w:rPr>
        <w:t>Information on how to obtain protective supplies such as gloves, cleaning solutions,</w:t>
      </w:r>
      <w:r w:rsidRPr="00CD7D26">
        <w:rPr>
          <w:rFonts w:asciiTheme="minorHAnsi" w:hAnsiTheme="minorHAnsi" w:cstheme="minorHAnsi"/>
          <w:spacing w:val="-1"/>
          <w:sz w:val="24"/>
          <w:szCs w:val="24"/>
        </w:rPr>
        <w:t xml:space="preserve"> </w:t>
      </w:r>
      <w:r w:rsidRPr="00CD7D26">
        <w:rPr>
          <w:rFonts w:asciiTheme="minorHAnsi" w:hAnsiTheme="minorHAnsi" w:cstheme="minorHAnsi"/>
          <w:sz w:val="24"/>
          <w:szCs w:val="24"/>
        </w:rPr>
        <w:t>etc.</w:t>
      </w:r>
    </w:p>
    <w:p w:rsidR="00290691" w:rsidRPr="00CD7D26" w:rsidRDefault="00290691">
      <w:pPr>
        <w:pStyle w:val="BodyText"/>
        <w:spacing w:before="8"/>
        <w:rPr>
          <w:rFonts w:asciiTheme="minorHAnsi" w:hAnsiTheme="minorHAnsi" w:cstheme="minorHAnsi"/>
        </w:rPr>
      </w:pPr>
    </w:p>
    <w:p w:rsidR="00290691" w:rsidRPr="00CD7D26" w:rsidRDefault="00F70FFA">
      <w:pPr>
        <w:pStyle w:val="BodyText"/>
        <w:spacing w:after="11"/>
        <w:ind w:left="120" w:right="118"/>
        <w:jc w:val="both"/>
        <w:rPr>
          <w:rFonts w:asciiTheme="minorHAnsi" w:hAnsiTheme="minorHAnsi" w:cstheme="minorHAnsi"/>
        </w:rPr>
      </w:pPr>
      <w:r w:rsidRPr="00CD7D26">
        <w:rPr>
          <w:rFonts w:asciiTheme="minorHAnsi" w:hAnsiTheme="minorHAnsi" w:cstheme="minorHAnsi"/>
        </w:rPr>
        <w:t>If you would like to have further information on the Hepatitis B Vaccination, please contact one of our SCOE nurses listed below</w:t>
      </w:r>
      <w:r w:rsidR="00764E14" w:rsidRPr="00CD7D26">
        <w:rPr>
          <w:rFonts w:asciiTheme="minorHAnsi" w:hAnsiTheme="minorHAnsi" w:cstheme="minorHAnsi"/>
        </w:rPr>
        <w:t xml:space="preserve"> at 522-3272</w:t>
      </w:r>
      <w:r w:rsidRPr="00CD7D26">
        <w:rPr>
          <w:rFonts w:asciiTheme="minorHAnsi" w:hAnsiTheme="minorHAnsi" w:cstheme="minorHAnsi"/>
        </w:rPr>
        <w:t>:</w:t>
      </w:r>
    </w:p>
    <w:p w:rsidR="00764E14" w:rsidRPr="00CD7D26" w:rsidRDefault="00764E14">
      <w:pPr>
        <w:pStyle w:val="BodyText"/>
        <w:spacing w:after="11"/>
        <w:ind w:left="120" w:right="118"/>
        <w:jc w:val="both"/>
        <w:rPr>
          <w:rFonts w:asciiTheme="minorHAnsi" w:hAnsiTheme="minorHAnsi" w:cstheme="minorHAnsi"/>
        </w:rPr>
      </w:pPr>
    </w:p>
    <w:p w:rsidR="00764E14" w:rsidRPr="00CD7D26" w:rsidRDefault="00764E14">
      <w:pPr>
        <w:pStyle w:val="BodyText"/>
        <w:spacing w:after="11"/>
        <w:ind w:left="120" w:right="118"/>
        <w:jc w:val="both"/>
        <w:rPr>
          <w:rFonts w:asciiTheme="minorHAnsi" w:hAnsiTheme="minorHAnsi" w:cstheme="minorHAnsi"/>
        </w:rPr>
      </w:pPr>
      <w:r w:rsidRPr="00CD7D26">
        <w:rPr>
          <w:rFonts w:asciiTheme="minorHAnsi" w:hAnsiTheme="minorHAnsi" w:cstheme="minorHAnsi"/>
        </w:rPr>
        <w:t>Donna Bassett</w:t>
      </w:r>
    </w:p>
    <w:p w:rsidR="00764E14" w:rsidRPr="00CD7D26" w:rsidRDefault="00764E14">
      <w:pPr>
        <w:pStyle w:val="BodyText"/>
        <w:spacing w:after="11"/>
        <w:ind w:left="120" w:right="118"/>
        <w:jc w:val="both"/>
        <w:rPr>
          <w:rFonts w:asciiTheme="minorHAnsi" w:hAnsiTheme="minorHAnsi" w:cstheme="minorHAnsi"/>
        </w:rPr>
      </w:pPr>
      <w:r w:rsidRPr="00CD7D26">
        <w:rPr>
          <w:rFonts w:asciiTheme="minorHAnsi" w:hAnsiTheme="minorHAnsi" w:cstheme="minorHAnsi"/>
        </w:rPr>
        <w:t>Yvonne Fox</w:t>
      </w:r>
    </w:p>
    <w:p w:rsidR="00764E14" w:rsidRPr="00CD7D26" w:rsidRDefault="007A05E0">
      <w:pPr>
        <w:pStyle w:val="BodyText"/>
        <w:spacing w:after="11"/>
        <w:ind w:left="120" w:right="118"/>
        <w:jc w:val="both"/>
        <w:rPr>
          <w:rFonts w:asciiTheme="minorHAnsi" w:hAnsiTheme="minorHAnsi" w:cstheme="minorHAnsi"/>
        </w:rPr>
      </w:pPr>
      <w:r w:rsidRPr="00CD7D26">
        <w:rPr>
          <w:rFonts w:asciiTheme="minorHAnsi" w:hAnsiTheme="minorHAnsi" w:cstheme="minorHAnsi"/>
        </w:rPr>
        <w:t>Sarah Mai</w:t>
      </w:r>
    </w:p>
    <w:p w:rsidR="00764E14" w:rsidRPr="00CD7D26" w:rsidRDefault="00764E14">
      <w:pPr>
        <w:pStyle w:val="BodyText"/>
        <w:spacing w:after="11"/>
        <w:ind w:left="120" w:right="118"/>
        <w:jc w:val="both"/>
        <w:rPr>
          <w:rFonts w:asciiTheme="minorHAnsi" w:hAnsiTheme="minorHAnsi" w:cstheme="minorHAnsi"/>
        </w:rPr>
      </w:pPr>
      <w:r w:rsidRPr="00CD7D26">
        <w:rPr>
          <w:rFonts w:asciiTheme="minorHAnsi" w:hAnsiTheme="minorHAnsi" w:cstheme="minorHAnsi"/>
        </w:rPr>
        <w:t xml:space="preserve">Christine </w:t>
      </w:r>
      <w:proofErr w:type="spellStart"/>
      <w:r w:rsidRPr="00CD7D26">
        <w:rPr>
          <w:rFonts w:asciiTheme="minorHAnsi" w:hAnsiTheme="minorHAnsi" w:cstheme="minorHAnsi"/>
        </w:rPr>
        <w:t>Mielock</w:t>
      </w:r>
      <w:proofErr w:type="spellEnd"/>
    </w:p>
    <w:p w:rsidR="00764E14" w:rsidRPr="00CD7D26" w:rsidRDefault="00764E14">
      <w:pPr>
        <w:pStyle w:val="BodyText"/>
        <w:spacing w:after="11"/>
        <w:ind w:left="120" w:right="118"/>
        <w:jc w:val="both"/>
        <w:rPr>
          <w:rFonts w:asciiTheme="minorHAnsi" w:hAnsiTheme="minorHAnsi" w:cstheme="minorHAnsi"/>
        </w:rPr>
      </w:pPr>
      <w:proofErr w:type="spellStart"/>
      <w:r w:rsidRPr="00CD7D26">
        <w:rPr>
          <w:rFonts w:asciiTheme="minorHAnsi" w:hAnsiTheme="minorHAnsi" w:cstheme="minorHAnsi"/>
        </w:rPr>
        <w:t>Ewa</w:t>
      </w:r>
      <w:proofErr w:type="spellEnd"/>
      <w:r w:rsidRPr="00CD7D26">
        <w:rPr>
          <w:rFonts w:asciiTheme="minorHAnsi" w:hAnsiTheme="minorHAnsi" w:cstheme="minorHAnsi"/>
        </w:rPr>
        <w:t xml:space="preserve"> </w:t>
      </w:r>
      <w:proofErr w:type="spellStart"/>
      <w:r w:rsidRPr="00CD7D26">
        <w:rPr>
          <w:rFonts w:asciiTheme="minorHAnsi" w:hAnsiTheme="minorHAnsi" w:cstheme="minorHAnsi"/>
        </w:rPr>
        <w:t>Moezzi</w:t>
      </w:r>
      <w:proofErr w:type="spellEnd"/>
    </w:p>
    <w:p w:rsidR="00290691" w:rsidRPr="00CD7D26" w:rsidRDefault="00290691">
      <w:pPr>
        <w:pStyle w:val="BodyText"/>
        <w:rPr>
          <w:rFonts w:asciiTheme="minorHAnsi" w:hAnsiTheme="minorHAnsi" w:cstheme="minorHAnsi"/>
        </w:rPr>
      </w:pPr>
    </w:p>
    <w:p w:rsidR="00290691" w:rsidRPr="00CD7D26" w:rsidRDefault="00764E14">
      <w:pPr>
        <w:pStyle w:val="BodyText"/>
        <w:spacing w:before="230"/>
        <w:ind w:left="120"/>
        <w:jc w:val="both"/>
        <w:rPr>
          <w:rFonts w:asciiTheme="minorHAnsi" w:hAnsiTheme="minorHAnsi" w:cstheme="minorHAnsi"/>
        </w:rPr>
      </w:pPr>
      <w:r w:rsidRPr="00CD7D26">
        <w:rPr>
          <w:rFonts w:asciiTheme="minorHAnsi" w:hAnsiTheme="minorHAnsi" w:cstheme="minorHAnsi"/>
        </w:rPr>
        <w:t>Revised: 6/19</w:t>
      </w:r>
    </w:p>
    <w:sectPr w:rsidR="00290691" w:rsidRPr="00CD7D26" w:rsidSect="00CD7D2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93C"/>
    <w:multiLevelType w:val="hybridMultilevel"/>
    <w:tmpl w:val="A2308BC4"/>
    <w:lvl w:ilvl="0" w:tplc="6F22D266">
      <w:start w:val="1"/>
      <w:numFmt w:val="decimal"/>
      <w:lvlText w:val="(%1)"/>
      <w:lvlJc w:val="left"/>
      <w:pPr>
        <w:ind w:left="1020" w:hanging="541"/>
        <w:jc w:val="left"/>
      </w:pPr>
      <w:rPr>
        <w:rFonts w:ascii="Times New Roman" w:eastAsia="Times New Roman" w:hAnsi="Times New Roman" w:cs="Times New Roman" w:hint="default"/>
        <w:spacing w:val="-2"/>
        <w:w w:val="99"/>
        <w:sz w:val="24"/>
        <w:szCs w:val="24"/>
      </w:rPr>
    </w:lvl>
    <w:lvl w:ilvl="1" w:tplc="398E9090">
      <w:numFmt w:val="bullet"/>
      <w:lvlText w:val="•"/>
      <w:lvlJc w:val="left"/>
      <w:pPr>
        <w:ind w:left="1806" w:hanging="541"/>
      </w:pPr>
      <w:rPr>
        <w:rFonts w:hint="default"/>
      </w:rPr>
    </w:lvl>
    <w:lvl w:ilvl="2" w:tplc="528664A2">
      <w:numFmt w:val="bullet"/>
      <w:lvlText w:val="•"/>
      <w:lvlJc w:val="left"/>
      <w:pPr>
        <w:ind w:left="2592" w:hanging="541"/>
      </w:pPr>
      <w:rPr>
        <w:rFonts w:hint="default"/>
      </w:rPr>
    </w:lvl>
    <w:lvl w:ilvl="3" w:tplc="FE74399E">
      <w:numFmt w:val="bullet"/>
      <w:lvlText w:val="•"/>
      <w:lvlJc w:val="left"/>
      <w:pPr>
        <w:ind w:left="3378" w:hanging="541"/>
      </w:pPr>
      <w:rPr>
        <w:rFonts w:hint="default"/>
      </w:rPr>
    </w:lvl>
    <w:lvl w:ilvl="4" w:tplc="E41A5C92">
      <w:numFmt w:val="bullet"/>
      <w:lvlText w:val="•"/>
      <w:lvlJc w:val="left"/>
      <w:pPr>
        <w:ind w:left="4164" w:hanging="541"/>
      </w:pPr>
      <w:rPr>
        <w:rFonts w:hint="default"/>
      </w:rPr>
    </w:lvl>
    <w:lvl w:ilvl="5" w:tplc="CC4AE202">
      <w:numFmt w:val="bullet"/>
      <w:lvlText w:val="•"/>
      <w:lvlJc w:val="left"/>
      <w:pPr>
        <w:ind w:left="4950" w:hanging="541"/>
      </w:pPr>
      <w:rPr>
        <w:rFonts w:hint="default"/>
      </w:rPr>
    </w:lvl>
    <w:lvl w:ilvl="6" w:tplc="07F0D9A6">
      <w:numFmt w:val="bullet"/>
      <w:lvlText w:val="•"/>
      <w:lvlJc w:val="left"/>
      <w:pPr>
        <w:ind w:left="5736" w:hanging="541"/>
      </w:pPr>
      <w:rPr>
        <w:rFonts w:hint="default"/>
      </w:rPr>
    </w:lvl>
    <w:lvl w:ilvl="7" w:tplc="48C2AB18">
      <w:numFmt w:val="bullet"/>
      <w:lvlText w:val="•"/>
      <w:lvlJc w:val="left"/>
      <w:pPr>
        <w:ind w:left="6522" w:hanging="541"/>
      </w:pPr>
      <w:rPr>
        <w:rFonts w:hint="default"/>
      </w:rPr>
    </w:lvl>
    <w:lvl w:ilvl="8" w:tplc="4DFADF0E">
      <w:numFmt w:val="bullet"/>
      <w:lvlText w:val="•"/>
      <w:lvlJc w:val="left"/>
      <w:pPr>
        <w:ind w:left="7308" w:hanging="541"/>
      </w:pPr>
      <w:rPr>
        <w:rFonts w:hint="default"/>
      </w:rPr>
    </w:lvl>
  </w:abstractNum>
  <w:abstractNum w:abstractNumId="1" w15:restartNumberingAfterBreak="0">
    <w:nsid w:val="5EE01525"/>
    <w:multiLevelType w:val="hybridMultilevel"/>
    <w:tmpl w:val="B400FC4C"/>
    <w:lvl w:ilvl="0" w:tplc="ACF6CBB2">
      <w:start w:val="1"/>
      <w:numFmt w:val="decimal"/>
      <w:lvlText w:val="(%1)"/>
      <w:lvlJc w:val="left"/>
      <w:pPr>
        <w:ind w:left="1020" w:hanging="541"/>
        <w:jc w:val="left"/>
      </w:pPr>
      <w:rPr>
        <w:rFonts w:ascii="Times New Roman" w:eastAsia="Times New Roman" w:hAnsi="Times New Roman" w:cs="Times New Roman" w:hint="default"/>
        <w:spacing w:val="-16"/>
        <w:w w:val="99"/>
        <w:sz w:val="24"/>
        <w:szCs w:val="24"/>
      </w:rPr>
    </w:lvl>
    <w:lvl w:ilvl="1" w:tplc="24567858">
      <w:numFmt w:val="bullet"/>
      <w:lvlText w:val="•"/>
      <w:lvlJc w:val="left"/>
      <w:pPr>
        <w:ind w:left="1806" w:hanging="541"/>
      </w:pPr>
      <w:rPr>
        <w:rFonts w:hint="default"/>
      </w:rPr>
    </w:lvl>
    <w:lvl w:ilvl="2" w:tplc="4A16B84E">
      <w:numFmt w:val="bullet"/>
      <w:lvlText w:val="•"/>
      <w:lvlJc w:val="left"/>
      <w:pPr>
        <w:ind w:left="2592" w:hanging="541"/>
      </w:pPr>
      <w:rPr>
        <w:rFonts w:hint="default"/>
      </w:rPr>
    </w:lvl>
    <w:lvl w:ilvl="3" w:tplc="175A3C86">
      <w:numFmt w:val="bullet"/>
      <w:lvlText w:val="•"/>
      <w:lvlJc w:val="left"/>
      <w:pPr>
        <w:ind w:left="3378" w:hanging="541"/>
      </w:pPr>
      <w:rPr>
        <w:rFonts w:hint="default"/>
      </w:rPr>
    </w:lvl>
    <w:lvl w:ilvl="4" w:tplc="6DC6B2DE">
      <w:numFmt w:val="bullet"/>
      <w:lvlText w:val="•"/>
      <w:lvlJc w:val="left"/>
      <w:pPr>
        <w:ind w:left="4164" w:hanging="541"/>
      </w:pPr>
      <w:rPr>
        <w:rFonts w:hint="default"/>
      </w:rPr>
    </w:lvl>
    <w:lvl w:ilvl="5" w:tplc="867A641C">
      <w:numFmt w:val="bullet"/>
      <w:lvlText w:val="•"/>
      <w:lvlJc w:val="left"/>
      <w:pPr>
        <w:ind w:left="4950" w:hanging="541"/>
      </w:pPr>
      <w:rPr>
        <w:rFonts w:hint="default"/>
      </w:rPr>
    </w:lvl>
    <w:lvl w:ilvl="6" w:tplc="E35E3D22">
      <w:numFmt w:val="bullet"/>
      <w:lvlText w:val="•"/>
      <w:lvlJc w:val="left"/>
      <w:pPr>
        <w:ind w:left="5736" w:hanging="541"/>
      </w:pPr>
      <w:rPr>
        <w:rFonts w:hint="default"/>
      </w:rPr>
    </w:lvl>
    <w:lvl w:ilvl="7" w:tplc="937C907A">
      <w:numFmt w:val="bullet"/>
      <w:lvlText w:val="•"/>
      <w:lvlJc w:val="left"/>
      <w:pPr>
        <w:ind w:left="6522" w:hanging="541"/>
      </w:pPr>
      <w:rPr>
        <w:rFonts w:hint="default"/>
      </w:rPr>
    </w:lvl>
    <w:lvl w:ilvl="8" w:tplc="FDF422E6">
      <w:numFmt w:val="bullet"/>
      <w:lvlText w:val="•"/>
      <w:lvlJc w:val="left"/>
      <w:pPr>
        <w:ind w:left="7308" w:hanging="5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90691"/>
    <w:rsid w:val="00290691"/>
    <w:rsid w:val="00764E14"/>
    <w:rsid w:val="007A05E0"/>
    <w:rsid w:val="00CD7D26"/>
    <w:rsid w:val="00F7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9301"/>
  <w15:docId w15:val="{FDB06442-1020-4854-B223-EF7266A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116" w:hanging="540"/>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7A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BLOOD BORNE PATHOGENS and </vt:lpstr>
    </vt:vector>
  </TitlesOfParts>
  <Company>Sonoma COE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BORNE PATHOGENS and </dc:title>
  <dc:creator>Technology Services</dc:creator>
  <cp:lastModifiedBy>Julie Hunter</cp:lastModifiedBy>
  <cp:revision>5</cp:revision>
  <cp:lastPrinted>2019-06-06T20:03:00Z</cp:lastPrinted>
  <dcterms:created xsi:type="dcterms:W3CDTF">2019-06-06T19:53:00Z</dcterms:created>
  <dcterms:modified xsi:type="dcterms:W3CDTF">2019-06-28T19:15:00Z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Creator">
    <vt:lpwstr>Acrobat PDFMaker 7.0.7 for Word</vt:lpwstr>
  </property>
  <property fmtid="{D5CDD505-2E9C-101B-9397-08002B2CF9AE}" pid="4" name="LastSaved">
    <vt:filetime>2019-06-06T00:00:00Z</vt:filetime>
  </property>
</Properties>
</file>