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4A" w:rsidRPr="00543E32" w:rsidRDefault="007D06FD" w:rsidP="00543E32">
      <w:pPr>
        <w:spacing w:before="78"/>
        <w:jc w:val="center"/>
        <w:rPr>
          <w:rFonts w:asciiTheme="minorHAnsi" w:hAnsiTheme="minorHAnsi" w:cstheme="minorHAnsi"/>
          <w:b/>
          <w:sz w:val="28"/>
          <w:szCs w:val="28"/>
        </w:rPr>
      </w:pPr>
      <w:r w:rsidRPr="00543E32">
        <w:rPr>
          <w:rFonts w:asciiTheme="minorHAnsi" w:hAnsiTheme="minorHAnsi" w:cstheme="minorHAnsi"/>
          <w:b/>
          <w:sz w:val="28"/>
          <w:szCs w:val="28"/>
        </w:rPr>
        <w:t>Why Should an Applicant Disclose Their Convictions or Misconduct?</w:t>
      </w:r>
    </w:p>
    <w:p w:rsidR="0064434A" w:rsidRPr="00543E32" w:rsidRDefault="0064434A">
      <w:pPr>
        <w:pStyle w:val="BodyText"/>
        <w:rPr>
          <w:rFonts w:asciiTheme="minorHAnsi" w:hAnsiTheme="minorHAnsi" w:cstheme="minorHAnsi"/>
          <w:b/>
        </w:rPr>
      </w:pPr>
    </w:p>
    <w:p w:rsidR="0064434A" w:rsidRPr="00543E32" w:rsidRDefault="007D06FD" w:rsidP="00543E32">
      <w:pPr>
        <w:pStyle w:val="BodyText"/>
        <w:ind w:right="98"/>
        <w:jc w:val="both"/>
        <w:rPr>
          <w:rFonts w:asciiTheme="minorHAnsi" w:hAnsiTheme="minorHAnsi" w:cstheme="minorHAnsi"/>
        </w:rPr>
      </w:pPr>
      <w:r w:rsidRPr="00543E32">
        <w:rPr>
          <w:rFonts w:asciiTheme="minorHAnsi" w:hAnsiTheme="minorHAnsi" w:cstheme="minorHAnsi"/>
        </w:rPr>
        <w:t xml:space="preserve">Applicants sign the application form under penalty of perjury. When an applicant </w:t>
      </w:r>
      <w:proofErr w:type="gramStart"/>
      <w:r w:rsidRPr="00543E32">
        <w:rPr>
          <w:rFonts w:asciiTheme="minorHAnsi" w:hAnsiTheme="minorHAnsi" w:cstheme="minorHAnsi"/>
        </w:rPr>
        <w:t>fails  to</w:t>
      </w:r>
      <w:proofErr w:type="gramEnd"/>
      <w:r w:rsidRPr="00543E32">
        <w:rPr>
          <w:rFonts w:asciiTheme="minorHAnsi" w:hAnsiTheme="minorHAnsi" w:cstheme="minorHAnsi"/>
        </w:rPr>
        <w:t xml:space="preserve"> disclose information or provides false or deceitful answers, they are subject to criminal prosecution, denial of their application, or adverse action by the Commission on any credential they hold.</w:t>
      </w:r>
    </w:p>
    <w:p w:rsidR="0064434A" w:rsidRPr="00543E32" w:rsidRDefault="0064434A" w:rsidP="00543E32">
      <w:pPr>
        <w:pStyle w:val="BodyText"/>
        <w:spacing w:before="4"/>
        <w:rPr>
          <w:rFonts w:asciiTheme="minorHAnsi" w:hAnsiTheme="minorHAnsi" w:cstheme="minorHAnsi"/>
        </w:rPr>
      </w:pPr>
    </w:p>
    <w:p w:rsidR="0064434A" w:rsidRPr="00543E32" w:rsidRDefault="007D06FD" w:rsidP="00543E32">
      <w:pPr>
        <w:pStyle w:val="BodyText"/>
        <w:ind w:right="98"/>
        <w:jc w:val="both"/>
        <w:rPr>
          <w:rFonts w:asciiTheme="minorHAnsi" w:hAnsiTheme="minorHAnsi" w:cstheme="minorHAnsi"/>
        </w:rPr>
      </w:pPr>
      <w:r w:rsidRPr="00543E32">
        <w:rPr>
          <w:rFonts w:asciiTheme="minorHAnsi" w:hAnsiTheme="minorHAnsi" w:cstheme="minorHAnsi"/>
        </w:rPr>
        <w:t>Moreover, when the Division of Professional Practices (DPP) does not have all the information they need to process an application, they must contact the applicant and this will delay their application.</w:t>
      </w:r>
    </w:p>
    <w:p w:rsidR="0064434A" w:rsidRPr="00543E32" w:rsidRDefault="0064434A" w:rsidP="00543E32">
      <w:pPr>
        <w:pStyle w:val="BodyText"/>
        <w:spacing w:before="7"/>
        <w:rPr>
          <w:rFonts w:asciiTheme="minorHAnsi" w:hAnsiTheme="minorHAnsi" w:cstheme="minorHAnsi"/>
        </w:rPr>
      </w:pPr>
    </w:p>
    <w:p w:rsidR="0064434A" w:rsidRPr="00543E32" w:rsidRDefault="007D06FD" w:rsidP="00543E32">
      <w:pPr>
        <w:pStyle w:val="Heading1"/>
        <w:ind w:left="0"/>
        <w:rPr>
          <w:rFonts w:asciiTheme="minorHAnsi" w:hAnsiTheme="minorHAnsi" w:cstheme="minorHAnsi"/>
        </w:rPr>
      </w:pPr>
      <w:r w:rsidRPr="00543E32">
        <w:rPr>
          <w:rFonts w:asciiTheme="minorHAnsi" w:hAnsiTheme="minorHAnsi" w:cstheme="minorHAnsi"/>
        </w:rPr>
        <w:t>What do I have to disclose?</w:t>
      </w:r>
    </w:p>
    <w:p w:rsidR="0064434A" w:rsidRPr="00543E32" w:rsidRDefault="0064434A" w:rsidP="00543E32">
      <w:pPr>
        <w:pStyle w:val="BodyText"/>
        <w:spacing w:before="2"/>
        <w:rPr>
          <w:rFonts w:asciiTheme="minorHAnsi" w:hAnsiTheme="minorHAnsi" w:cstheme="minorHAnsi"/>
          <w:b/>
        </w:rPr>
      </w:pPr>
    </w:p>
    <w:p w:rsidR="0064434A" w:rsidRPr="00543E32" w:rsidRDefault="007D06FD" w:rsidP="00543E32">
      <w:pPr>
        <w:pStyle w:val="BodyText"/>
        <w:ind w:right="889"/>
        <w:rPr>
          <w:rFonts w:asciiTheme="minorHAnsi" w:hAnsiTheme="minorHAnsi" w:cstheme="minorHAnsi"/>
        </w:rPr>
      </w:pPr>
      <w:r w:rsidRPr="00543E32">
        <w:rPr>
          <w:rFonts w:asciiTheme="minorHAnsi" w:hAnsiTheme="minorHAnsi" w:cstheme="minorHAnsi"/>
        </w:rPr>
        <w:t>On every application you submit to the Commission, you are required to make known the following:</w:t>
      </w:r>
    </w:p>
    <w:p w:rsidR="0064434A" w:rsidRPr="00543E32" w:rsidRDefault="0064434A" w:rsidP="00543E32">
      <w:pPr>
        <w:pStyle w:val="BodyText"/>
        <w:spacing w:before="1"/>
        <w:rPr>
          <w:rFonts w:asciiTheme="minorHAnsi" w:hAnsiTheme="minorHAnsi" w:cstheme="minorHAnsi"/>
        </w:rPr>
      </w:pPr>
    </w:p>
    <w:p w:rsidR="0064434A" w:rsidRPr="00543E32" w:rsidRDefault="007D06FD" w:rsidP="00543E32">
      <w:pPr>
        <w:pStyle w:val="BodyText"/>
        <w:rPr>
          <w:rFonts w:asciiTheme="minorHAnsi" w:hAnsiTheme="minorHAnsi" w:cstheme="minorHAnsi"/>
        </w:rPr>
      </w:pPr>
      <w:r w:rsidRPr="00543E32">
        <w:rPr>
          <w:rFonts w:asciiTheme="minorHAnsi" w:hAnsiTheme="minorHAnsi" w:cstheme="minorHAnsi"/>
        </w:rPr>
        <w:t>Criminal convictions for misdemeanors and felonies, including convictions that have been:</w:t>
      </w:r>
    </w:p>
    <w:p w:rsidR="0064434A" w:rsidRPr="00543E32" w:rsidRDefault="0064434A" w:rsidP="00543E32">
      <w:pPr>
        <w:pStyle w:val="BodyText"/>
        <w:spacing w:before="2"/>
        <w:rPr>
          <w:rFonts w:asciiTheme="minorHAnsi" w:hAnsiTheme="minorHAnsi" w:cstheme="minorHAnsi"/>
        </w:rPr>
      </w:pPr>
    </w:p>
    <w:p w:rsidR="0064434A" w:rsidRPr="00543E32" w:rsidRDefault="007D06FD" w:rsidP="00543E32">
      <w:pPr>
        <w:pStyle w:val="ListParagraph"/>
        <w:numPr>
          <w:ilvl w:val="0"/>
          <w:numId w:val="3"/>
        </w:numPr>
        <w:tabs>
          <w:tab w:val="left" w:pos="839"/>
          <w:tab w:val="left" w:pos="840"/>
        </w:tabs>
        <w:rPr>
          <w:rFonts w:asciiTheme="minorHAnsi" w:hAnsiTheme="minorHAnsi" w:cstheme="minorHAnsi"/>
          <w:sz w:val="24"/>
          <w:szCs w:val="24"/>
        </w:rPr>
      </w:pPr>
      <w:r w:rsidRPr="00543E32">
        <w:rPr>
          <w:rFonts w:asciiTheme="minorHAnsi" w:hAnsiTheme="minorHAnsi" w:cstheme="minorHAnsi"/>
          <w:sz w:val="24"/>
          <w:szCs w:val="24"/>
        </w:rPr>
        <w:t>Dismissed pursuant to Penal Code section 1203.4,</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and</w:t>
      </w:r>
    </w:p>
    <w:p w:rsidR="0064434A" w:rsidRPr="00543E32" w:rsidRDefault="0064434A" w:rsidP="00543E32">
      <w:pPr>
        <w:pStyle w:val="BodyText"/>
        <w:rPr>
          <w:rFonts w:asciiTheme="minorHAnsi" w:hAnsiTheme="minorHAnsi" w:cstheme="minorHAnsi"/>
        </w:rPr>
      </w:pPr>
    </w:p>
    <w:p w:rsidR="0064434A" w:rsidRPr="00543E32" w:rsidRDefault="007D06FD" w:rsidP="00543E32">
      <w:pPr>
        <w:pStyle w:val="ListParagraph"/>
        <w:numPr>
          <w:ilvl w:val="0"/>
          <w:numId w:val="3"/>
        </w:numPr>
        <w:tabs>
          <w:tab w:val="left" w:pos="839"/>
          <w:tab w:val="left" w:pos="840"/>
        </w:tabs>
        <w:rPr>
          <w:rFonts w:asciiTheme="minorHAnsi" w:hAnsiTheme="minorHAnsi" w:cstheme="minorHAnsi"/>
          <w:sz w:val="24"/>
          <w:szCs w:val="24"/>
        </w:rPr>
      </w:pPr>
      <w:r w:rsidRPr="00543E32">
        <w:rPr>
          <w:rFonts w:asciiTheme="minorHAnsi" w:hAnsiTheme="minorHAnsi" w:cstheme="minorHAnsi"/>
          <w:sz w:val="24"/>
          <w:szCs w:val="24"/>
        </w:rPr>
        <w:t>Disclosed to the Commission on previous</w:t>
      </w:r>
      <w:r w:rsidRPr="00543E32">
        <w:rPr>
          <w:rFonts w:asciiTheme="minorHAnsi" w:hAnsiTheme="minorHAnsi" w:cstheme="minorHAnsi"/>
          <w:spacing w:val="-4"/>
          <w:sz w:val="24"/>
          <w:szCs w:val="24"/>
        </w:rPr>
        <w:t xml:space="preserve"> </w:t>
      </w:r>
      <w:r w:rsidRPr="00543E32">
        <w:rPr>
          <w:rFonts w:asciiTheme="minorHAnsi" w:hAnsiTheme="minorHAnsi" w:cstheme="minorHAnsi"/>
          <w:sz w:val="24"/>
          <w:szCs w:val="24"/>
        </w:rPr>
        <w:t>applications.</w:t>
      </w:r>
    </w:p>
    <w:p w:rsidR="0064434A" w:rsidRPr="00543E32" w:rsidRDefault="0064434A" w:rsidP="00543E32">
      <w:pPr>
        <w:pStyle w:val="BodyText"/>
        <w:spacing w:before="5"/>
        <w:rPr>
          <w:rFonts w:asciiTheme="minorHAnsi" w:hAnsiTheme="minorHAnsi" w:cstheme="minorHAnsi"/>
        </w:rPr>
      </w:pPr>
    </w:p>
    <w:p w:rsidR="0064434A" w:rsidRPr="00543E32" w:rsidRDefault="007D06FD" w:rsidP="00543E32">
      <w:pPr>
        <w:pStyle w:val="BodyText"/>
        <w:rPr>
          <w:rFonts w:asciiTheme="minorHAnsi" w:hAnsiTheme="minorHAnsi" w:cstheme="minorHAnsi"/>
        </w:rPr>
      </w:pPr>
      <w:r w:rsidRPr="00543E32">
        <w:rPr>
          <w:rFonts w:asciiTheme="minorHAnsi" w:hAnsiTheme="minorHAnsi" w:cstheme="minorHAnsi"/>
        </w:rPr>
        <w:t>Licensing agency inquiries and investigations, including all:</w:t>
      </w:r>
    </w:p>
    <w:p w:rsidR="0064434A" w:rsidRPr="00543E32" w:rsidRDefault="0064434A" w:rsidP="00543E32">
      <w:pPr>
        <w:pStyle w:val="BodyText"/>
        <w:spacing w:before="2"/>
        <w:rPr>
          <w:rFonts w:asciiTheme="minorHAnsi" w:hAnsiTheme="minorHAnsi" w:cstheme="minorHAnsi"/>
        </w:rPr>
      </w:pPr>
    </w:p>
    <w:p w:rsidR="0064434A" w:rsidRPr="00543E32" w:rsidRDefault="007D06FD" w:rsidP="00543E32">
      <w:pPr>
        <w:pStyle w:val="ListParagraph"/>
        <w:numPr>
          <w:ilvl w:val="0"/>
          <w:numId w:val="4"/>
        </w:numPr>
        <w:tabs>
          <w:tab w:val="left" w:pos="839"/>
          <w:tab w:val="left" w:pos="840"/>
        </w:tabs>
        <w:rPr>
          <w:rFonts w:asciiTheme="minorHAnsi" w:hAnsiTheme="minorHAnsi" w:cstheme="minorHAnsi"/>
          <w:sz w:val="24"/>
          <w:szCs w:val="24"/>
        </w:rPr>
      </w:pPr>
      <w:r w:rsidRPr="00543E32">
        <w:rPr>
          <w:rFonts w:asciiTheme="minorHAnsi" w:hAnsiTheme="minorHAnsi" w:cstheme="minorHAnsi"/>
          <w:sz w:val="24"/>
          <w:szCs w:val="24"/>
        </w:rPr>
        <w:t>Inquiries made by the Commission and other licensing agencies,</w:t>
      </w:r>
      <w:r w:rsidRPr="00543E32">
        <w:rPr>
          <w:rFonts w:asciiTheme="minorHAnsi" w:hAnsiTheme="minorHAnsi" w:cstheme="minorHAnsi"/>
          <w:spacing w:val="-10"/>
          <w:sz w:val="24"/>
          <w:szCs w:val="24"/>
        </w:rPr>
        <w:t xml:space="preserve"> </w:t>
      </w:r>
      <w:r w:rsidRPr="00543E32">
        <w:rPr>
          <w:rFonts w:asciiTheme="minorHAnsi" w:hAnsiTheme="minorHAnsi" w:cstheme="minorHAnsi"/>
          <w:sz w:val="24"/>
          <w:szCs w:val="24"/>
        </w:rPr>
        <w:t>and</w:t>
      </w:r>
    </w:p>
    <w:p w:rsidR="0064434A" w:rsidRPr="00543E32" w:rsidRDefault="0064434A" w:rsidP="00543E32">
      <w:pPr>
        <w:pStyle w:val="BodyText"/>
        <w:rPr>
          <w:rFonts w:asciiTheme="minorHAnsi" w:hAnsiTheme="minorHAnsi" w:cstheme="minorHAnsi"/>
        </w:rPr>
      </w:pPr>
    </w:p>
    <w:p w:rsidR="0064434A" w:rsidRPr="00543E32" w:rsidRDefault="007D06FD" w:rsidP="00543E32">
      <w:pPr>
        <w:pStyle w:val="ListParagraph"/>
        <w:numPr>
          <w:ilvl w:val="0"/>
          <w:numId w:val="4"/>
        </w:numPr>
        <w:tabs>
          <w:tab w:val="left" w:pos="839"/>
          <w:tab w:val="left" w:pos="840"/>
        </w:tabs>
        <w:rPr>
          <w:rFonts w:asciiTheme="minorHAnsi" w:hAnsiTheme="minorHAnsi" w:cstheme="minorHAnsi"/>
          <w:sz w:val="24"/>
          <w:szCs w:val="24"/>
        </w:rPr>
      </w:pPr>
      <w:r w:rsidRPr="00543E32">
        <w:rPr>
          <w:rFonts w:asciiTheme="minorHAnsi" w:hAnsiTheme="minorHAnsi" w:cstheme="minorHAnsi"/>
          <w:sz w:val="24"/>
          <w:szCs w:val="24"/>
        </w:rPr>
        <w:t>Adverse actions imposed by the Commission and other licensing</w:t>
      </w:r>
      <w:r w:rsidRPr="00543E32">
        <w:rPr>
          <w:rFonts w:asciiTheme="minorHAnsi" w:hAnsiTheme="minorHAnsi" w:cstheme="minorHAnsi"/>
          <w:spacing w:val="-15"/>
          <w:sz w:val="24"/>
          <w:szCs w:val="24"/>
        </w:rPr>
        <w:t xml:space="preserve"> </w:t>
      </w:r>
      <w:r w:rsidRPr="00543E32">
        <w:rPr>
          <w:rFonts w:asciiTheme="minorHAnsi" w:hAnsiTheme="minorHAnsi" w:cstheme="minorHAnsi"/>
          <w:sz w:val="24"/>
          <w:szCs w:val="24"/>
        </w:rPr>
        <w:t>agencies.</w:t>
      </w:r>
    </w:p>
    <w:p w:rsidR="0064434A" w:rsidRPr="00543E32" w:rsidRDefault="0064434A" w:rsidP="00543E32">
      <w:pPr>
        <w:pStyle w:val="BodyText"/>
        <w:spacing w:before="2"/>
        <w:rPr>
          <w:rFonts w:asciiTheme="minorHAnsi" w:hAnsiTheme="minorHAnsi" w:cstheme="minorHAnsi"/>
        </w:rPr>
      </w:pPr>
    </w:p>
    <w:p w:rsidR="0064434A" w:rsidRPr="00543E32" w:rsidRDefault="007D06FD" w:rsidP="00543E32">
      <w:pPr>
        <w:pStyle w:val="BodyText"/>
        <w:spacing w:before="1"/>
        <w:ind w:right="235"/>
        <w:rPr>
          <w:rFonts w:asciiTheme="minorHAnsi" w:hAnsiTheme="minorHAnsi" w:cstheme="minorHAnsi"/>
        </w:rPr>
      </w:pPr>
      <w:r w:rsidRPr="00543E32">
        <w:rPr>
          <w:rFonts w:asciiTheme="minorHAnsi" w:hAnsiTheme="minorHAnsi" w:cstheme="minorHAnsi"/>
        </w:rPr>
        <w:t>School employment separations due to allegations of misconduct, including all dismissals, non- reelections, retirements, resignations, and suspensions for more than ten days without pay.</w:t>
      </w:r>
    </w:p>
    <w:p w:rsidR="0064434A" w:rsidRPr="00543E32" w:rsidRDefault="0064434A" w:rsidP="00543E32">
      <w:pPr>
        <w:pStyle w:val="BodyText"/>
        <w:rPr>
          <w:rFonts w:asciiTheme="minorHAnsi" w:hAnsiTheme="minorHAnsi" w:cstheme="minorHAnsi"/>
        </w:rPr>
      </w:pPr>
    </w:p>
    <w:p w:rsidR="0064434A" w:rsidRPr="00543E32" w:rsidRDefault="007D06FD" w:rsidP="00543E32">
      <w:pPr>
        <w:pStyle w:val="BodyText"/>
        <w:ind w:right="342"/>
        <w:rPr>
          <w:rFonts w:asciiTheme="minorHAnsi" w:hAnsiTheme="minorHAnsi" w:cstheme="minorHAnsi"/>
        </w:rPr>
      </w:pPr>
      <w:r w:rsidRPr="00543E32">
        <w:rPr>
          <w:rFonts w:asciiTheme="minorHAnsi" w:hAnsiTheme="minorHAnsi" w:cstheme="minorHAnsi"/>
        </w:rPr>
        <w:t>You must disclose all relevant information on every application you submit to the Commission, even if you disclosed the same information on an earlier application.</w:t>
      </w:r>
    </w:p>
    <w:p w:rsidR="0064434A" w:rsidRPr="00543E32" w:rsidRDefault="0064434A" w:rsidP="00543E32">
      <w:pPr>
        <w:pStyle w:val="BodyText"/>
        <w:rPr>
          <w:rFonts w:asciiTheme="minorHAnsi" w:hAnsiTheme="minorHAnsi" w:cstheme="minorHAnsi"/>
        </w:rPr>
      </w:pPr>
    </w:p>
    <w:p w:rsidR="0064434A" w:rsidRPr="00543E32" w:rsidRDefault="007D06FD" w:rsidP="00543E32">
      <w:pPr>
        <w:pStyle w:val="BodyText"/>
        <w:ind w:right="196"/>
        <w:rPr>
          <w:rFonts w:asciiTheme="minorHAnsi" w:hAnsiTheme="minorHAnsi" w:cstheme="minorHAnsi"/>
        </w:rPr>
      </w:pPr>
      <w:r w:rsidRPr="00543E32">
        <w:rPr>
          <w:rFonts w:asciiTheme="minorHAnsi" w:hAnsiTheme="minorHAnsi" w:cstheme="minorHAnsi"/>
        </w:rPr>
        <w:t>You are required to disclose all criminal convictions (misdemeanors and felonies). A court order pursuant to Penal Code Section 1203.4(a) states that the order does not relieve the person of the obligation to disclose the conviction in response to any direct question contained in any questionnaire or application for public office or for licensure by any state or local agency.</w:t>
      </w:r>
    </w:p>
    <w:p w:rsidR="0064434A" w:rsidRPr="00543E32" w:rsidRDefault="0064434A" w:rsidP="00543E32">
      <w:pPr>
        <w:pStyle w:val="BodyText"/>
        <w:rPr>
          <w:rFonts w:asciiTheme="minorHAnsi" w:hAnsiTheme="minorHAnsi" w:cstheme="minorHAnsi"/>
        </w:rPr>
      </w:pPr>
    </w:p>
    <w:p w:rsidR="0064434A" w:rsidRPr="00543E32" w:rsidRDefault="007D06FD" w:rsidP="00543E32">
      <w:pPr>
        <w:pStyle w:val="BodyText"/>
        <w:ind w:right="115"/>
        <w:rPr>
          <w:rFonts w:asciiTheme="minorHAnsi" w:hAnsiTheme="minorHAnsi" w:cstheme="minorHAnsi"/>
        </w:rPr>
      </w:pPr>
      <w:r w:rsidRPr="00543E32">
        <w:rPr>
          <w:rFonts w:asciiTheme="minorHAnsi" w:hAnsiTheme="minorHAnsi" w:cstheme="minorHAnsi"/>
        </w:rPr>
        <w:t xml:space="preserve">You must disclose a conviction no matter how much time has passed, even if the case </w:t>
      </w:r>
      <w:proofErr w:type="gramStart"/>
      <w:r w:rsidRPr="00543E32">
        <w:rPr>
          <w:rFonts w:asciiTheme="minorHAnsi" w:hAnsiTheme="minorHAnsi" w:cstheme="minorHAnsi"/>
        </w:rPr>
        <w:t>has been dismissed</w:t>
      </w:r>
      <w:proofErr w:type="gramEnd"/>
      <w:r w:rsidRPr="00543E32">
        <w:rPr>
          <w:rFonts w:asciiTheme="minorHAnsi" w:hAnsiTheme="minorHAnsi" w:cstheme="minorHAnsi"/>
        </w:rPr>
        <w:t xml:space="preserve"> pursuant to Penal Code Section 1203.4. A plea of </w:t>
      </w:r>
      <w:r w:rsidRPr="00543E32">
        <w:rPr>
          <w:rFonts w:asciiTheme="minorHAnsi" w:hAnsiTheme="minorHAnsi" w:cstheme="minorHAnsi"/>
          <w:i/>
        </w:rPr>
        <w:t xml:space="preserve">nolo contendere </w:t>
      </w:r>
      <w:r w:rsidRPr="00543E32">
        <w:rPr>
          <w:rFonts w:asciiTheme="minorHAnsi" w:hAnsiTheme="minorHAnsi" w:cstheme="minorHAnsi"/>
        </w:rPr>
        <w:t xml:space="preserve">(no contest) to a criminal charge results in a </w:t>
      </w:r>
      <w:r w:rsidR="00B50B7A" w:rsidRPr="00543E32">
        <w:rPr>
          <w:rFonts w:asciiTheme="minorHAnsi" w:hAnsiTheme="minorHAnsi" w:cstheme="minorHAnsi"/>
        </w:rPr>
        <w:t>conviction that</w:t>
      </w:r>
      <w:r w:rsidRPr="00543E32">
        <w:rPr>
          <w:rFonts w:asciiTheme="minorHAnsi" w:hAnsiTheme="minorHAnsi" w:cstheme="minorHAnsi"/>
        </w:rPr>
        <w:t xml:space="preserve"> </w:t>
      </w:r>
      <w:proofErr w:type="gramStart"/>
      <w:r w:rsidRPr="00543E32">
        <w:rPr>
          <w:rFonts w:asciiTheme="minorHAnsi" w:hAnsiTheme="minorHAnsi" w:cstheme="minorHAnsi"/>
        </w:rPr>
        <w:t>must be disclosed</w:t>
      </w:r>
      <w:proofErr w:type="gramEnd"/>
      <w:r w:rsidRPr="00543E32">
        <w:rPr>
          <w:rFonts w:asciiTheme="minorHAnsi" w:hAnsiTheme="minorHAnsi" w:cstheme="minorHAnsi"/>
        </w:rPr>
        <w:t>.</w:t>
      </w:r>
    </w:p>
    <w:p w:rsidR="0064434A" w:rsidRPr="00543E32" w:rsidRDefault="0064434A" w:rsidP="00543E32">
      <w:pPr>
        <w:pStyle w:val="BodyText"/>
        <w:rPr>
          <w:rFonts w:asciiTheme="minorHAnsi" w:hAnsiTheme="minorHAnsi" w:cstheme="minorHAnsi"/>
        </w:rPr>
      </w:pPr>
    </w:p>
    <w:p w:rsidR="0064434A" w:rsidRPr="00543E32" w:rsidRDefault="007D06FD" w:rsidP="00543E32">
      <w:pPr>
        <w:pStyle w:val="BodyText"/>
        <w:ind w:right="208"/>
        <w:rPr>
          <w:rFonts w:asciiTheme="minorHAnsi" w:hAnsiTheme="minorHAnsi" w:cstheme="minorHAnsi"/>
        </w:rPr>
      </w:pPr>
      <w:r w:rsidRPr="00543E32">
        <w:rPr>
          <w:rFonts w:asciiTheme="minorHAnsi" w:hAnsiTheme="minorHAnsi" w:cstheme="minorHAnsi"/>
        </w:rPr>
        <w:t xml:space="preserve">Warning: Failure to report a conviction or disciplinary action by a state licensing agency </w:t>
      </w:r>
      <w:proofErr w:type="gramStart"/>
      <w:r w:rsidRPr="00543E32">
        <w:rPr>
          <w:rFonts w:asciiTheme="minorHAnsi" w:hAnsiTheme="minorHAnsi" w:cstheme="minorHAnsi"/>
        </w:rPr>
        <w:t>is considered</w:t>
      </w:r>
      <w:proofErr w:type="gramEnd"/>
      <w:r w:rsidRPr="00543E32">
        <w:rPr>
          <w:rFonts w:asciiTheme="minorHAnsi" w:hAnsiTheme="minorHAnsi" w:cstheme="minorHAnsi"/>
        </w:rPr>
        <w:t xml:space="preserve"> falsification of your application and could lead to criminal prosecution, denial of your application, and/or adverse action on other credentials you currently hold.</w:t>
      </w:r>
    </w:p>
    <w:p w:rsidR="0064434A" w:rsidRPr="00543E32" w:rsidRDefault="0064434A">
      <w:pPr>
        <w:rPr>
          <w:rFonts w:asciiTheme="minorHAnsi" w:hAnsiTheme="minorHAnsi" w:cstheme="minorHAnsi"/>
          <w:sz w:val="24"/>
          <w:szCs w:val="24"/>
        </w:rPr>
        <w:sectPr w:rsidR="0064434A" w:rsidRPr="00543E32">
          <w:type w:val="continuous"/>
          <w:pgSz w:w="12240" w:h="15840"/>
          <w:pgMar w:top="920" w:right="900" w:bottom="280" w:left="880" w:header="720" w:footer="720" w:gutter="0"/>
          <w:cols w:space="720"/>
        </w:sectPr>
      </w:pPr>
    </w:p>
    <w:p w:rsidR="0064434A" w:rsidRPr="00543E32" w:rsidRDefault="007D06FD">
      <w:pPr>
        <w:pStyle w:val="Heading1"/>
        <w:spacing w:before="79"/>
        <w:rPr>
          <w:rFonts w:asciiTheme="minorHAnsi" w:hAnsiTheme="minorHAnsi" w:cstheme="minorHAnsi"/>
        </w:rPr>
      </w:pPr>
      <w:r w:rsidRPr="00543E32">
        <w:rPr>
          <w:rFonts w:asciiTheme="minorHAnsi" w:hAnsiTheme="minorHAnsi" w:cstheme="minorHAnsi"/>
        </w:rPr>
        <w:lastRenderedPageBreak/>
        <w:t>Why is it taking so long to review my application?</w:t>
      </w:r>
    </w:p>
    <w:p w:rsidR="0064434A" w:rsidRPr="00543E32" w:rsidRDefault="0064434A">
      <w:pPr>
        <w:pStyle w:val="BodyText"/>
        <w:spacing w:before="2"/>
        <w:rPr>
          <w:rFonts w:asciiTheme="minorHAnsi" w:hAnsiTheme="minorHAnsi" w:cstheme="minorHAnsi"/>
          <w:b/>
        </w:rPr>
      </w:pPr>
    </w:p>
    <w:p w:rsidR="0064434A" w:rsidRPr="00543E32" w:rsidRDefault="007D06FD">
      <w:pPr>
        <w:pStyle w:val="BodyText"/>
        <w:ind w:left="119" w:right="276"/>
        <w:rPr>
          <w:rFonts w:asciiTheme="minorHAnsi" w:hAnsiTheme="minorHAnsi" w:cstheme="minorHAnsi"/>
        </w:rPr>
      </w:pPr>
      <w:r w:rsidRPr="00543E32">
        <w:rPr>
          <w:rFonts w:asciiTheme="minorHAnsi" w:hAnsiTheme="minorHAnsi" w:cstheme="minorHAnsi"/>
        </w:rPr>
        <w:t>California Code of Regulations, Title 5, Section 80443, sets a maximum processing time of 50 working days for completed applications. However, applications delayed by a Commission appeal, Division of Professional Practices review, or fingerprint card processing are not subject to the 50-day restriction.</w:t>
      </w:r>
    </w:p>
    <w:p w:rsidR="0064434A" w:rsidRPr="00543E32" w:rsidRDefault="0064434A">
      <w:pPr>
        <w:pStyle w:val="BodyText"/>
        <w:spacing w:before="6"/>
        <w:rPr>
          <w:rFonts w:asciiTheme="minorHAnsi" w:hAnsiTheme="minorHAnsi" w:cstheme="minorHAnsi"/>
        </w:rPr>
      </w:pPr>
    </w:p>
    <w:p w:rsidR="0064434A" w:rsidRPr="00543E32" w:rsidRDefault="007D06FD">
      <w:pPr>
        <w:pStyle w:val="Heading1"/>
        <w:rPr>
          <w:rFonts w:asciiTheme="minorHAnsi" w:hAnsiTheme="minorHAnsi" w:cstheme="minorHAnsi"/>
        </w:rPr>
      </w:pPr>
      <w:r w:rsidRPr="00543E32">
        <w:rPr>
          <w:rFonts w:asciiTheme="minorHAnsi" w:hAnsiTheme="minorHAnsi" w:cstheme="minorHAnsi"/>
        </w:rPr>
        <w:t>How can I find out the status of my review?</w:t>
      </w:r>
    </w:p>
    <w:p w:rsidR="0064434A" w:rsidRPr="00543E32" w:rsidRDefault="0064434A">
      <w:pPr>
        <w:pStyle w:val="BodyText"/>
        <w:spacing w:before="1"/>
        <w:rPr>
          <w:rFonts w:asciiTheme="minorHAnsi" w:hAnsiTheme="minorHAnsi" w:cstheme="minorHAnsi"/>
          <w:b/>
        </w:rPr>
      </w:pPr>
    </w:p>
    <w:p w:rsidR="0064434A" w:rsidRPr="00543E32" w:rsidRDefault="007D06FD">
      <w:pPr>
        <w:pStyle w:val="BodyText"/>
        <w:ind w:left="119" w:right="301"/>
        <w:rPr>
          <w:rFonts w:asciiTheme="minorHAnsi" w:hAnsiTheme="minorHAnsi" w:cstheme="minorHAnsi"/>
        </w:rPr>
      </w:pPr>
      <w:r w:rsidRPr="00543E32">
        <w:rPr>
          <w:rFonts w:asciiTheme="minorHAnsi" w:hAnsiTheme="minorHAnsi" w:cstheme="minorHAnsi"/>
        </w:rPr>
        <w:t xml:space="preserve">To request a status check on the review of an application for allegations of misconduct in the Division of Professional Practices, call 1-888-921-2682 between the hours of 12:00 PM to 4:45 PM. </w:t>
      </w:r>
      <w:proofErr w:type="gramStart"/>
      <w:r w:rsidRPr="00543E32">
        <w:rPr>
          <w:rFonts w:asciiTheme="minorHAnsi" w:hAnsiTheme="minorHAnsi" w:cstheme="minorHAnsi"/>
        </w:rPr>
        <w:t>Anyone</w:t>
      </w:r>
      <w:proofErr w:type="gramEnd"/>
      <w:r w:rsidRPr="00543E32">
        <w:rPr>
          <w:rFonts w:asciiTheme="minorHAnsi" w:hAnsiTheme="minorHAnsi" w:cstheme="minorHAnsi"/>
        </w:rPr>
        <w:t xml:space="preserve"> who answers the phone will be able to check on the status of your application.</w:t>
      </w:r>
    </w:p>
    <w:p w:rsidR="0064434A" w:rsidRPr="00543E32" w:rsidRDefault="0064434A">
      <w:pPr>
        <w:pStyle w:val="BodyText"/>
        <w:spacing w:before="6"/>
        <w:rPr>
          <w:rFonts w:asciiTheme="minorHAnsi" w:hAnsiTheme="minorHAnsi" w:cstheme="minorHAnsi"/>
        </w:rPr>
      </w:pPr>
    </w:p>
    <w:p w:rsidR="0064434A" w:rsidRPr="00543E32" w:rsidRDefault="007D06FD">
      <w:pPr>
        <w:pStyle w:val="Heading1"/>
        <w:rPr>
          <w:rFonts w:asciiTheme="minorHAnsi" w:hAnsiTheme="minorHAnsi" w:cstheme="minorHAnsi"/>
        </w:rPr>
      </w:pPr>
      <w:r w:rsidRPr="00543E32">
        <w:rPr>
          <w:rFonts w:asciiTheme="minorHAnsi" w:hAnsiTheme="minorHAnsi" w:cstheme="minorHAnsi"/>
        </w:rPr>
        <w:t xml:space="preserve">What documents should I submit if I </w:t>
      </w:r>
      <w:proofErr w:type="gramStart"/>
      <w:r w:rsidRPr="00543E32">
        <w:rPr>
          <w:rFonts w:asciiTheme="minorHAnsi" w:hAnsiTheme="minorHAnsi" w:cstheme="minorHAnsi"/>
        </w:rPr>
        <w:t>have been convicted</w:t>
      </w:r>
      <w:proofErr w:type="gramEnd"/>
      <w:r w:rsidRPr="00543E32">
        <w:rPr>
          <w:rFonts w:asciiTheme="minorHAnsi" w:hAnsiTheme="minorHAnsi" w:cstheme="minorHAnsi"/>
        </w:rPr>
        <w:t xml:space="preserve"> of a crime?</w:t>
      </w:r>
    </w:p>
    <w:p w:rsidR="0064434A" w:rsidRPr="00543E32" w:rsidRDefault="0064434A">
      <w:pPr>
        <w:pStyle w:val="BodyText"/>
        <w:spacing w:before="4"/>
        <w:rPr>
          <w:rFonts w:asciiTheme="minorHAnsi" w:hAnsiTheme="minorHAnsi" w:cstheme="minorHAnsi"/>
          <w:b/>
        </w:rPr>
      </w:pPr>
    </w:p>
    <w:p w:rsidR="0064434A" w:rsidRPr="00543E32" w:rsidRDefault="007D06FD">
      <w:pPr>
        <w:pStyle w:val="BodyText"/>
        <w:ind w:left="119"/>
        <w:rPr>
          <w:rFonts w:asciiTheme="minorHAnsi" w:hAnsiTheme="minorHAnsi" w:cstheme="minorHAnsi"/>
        </w:rPr>
      </w:pPr>
      <w:r w:rsidRPr="00543E32">
        <w:rPr>
          <w:rFonts w:asciiTheme="minorHAnsi" w:hAnsiTheme="minorHAnsi" w:cstheme="minorHAnsi"/>
        </w:rPr>
        <w:t>For every conviction, applicants must submit:</w:t>
      </w:r>
    </w:p>
    <w:p w:rsidR="0064434A" w:rsidRPr="00543E32" w:rsidRDefault="0064434A">
      <w:pPr>
        <w:pStyle w:val="BodyText"/>
        <w:spacing w:before="2"/>
        <w:rPr>
          <w:rFonts w:asciiTheme="minorHAnsi" w:hAnsiTheme="minorHAnsi" w:cstheme="minorHAnsi"/>
        </w:rPr>
      </w:pPr>
    </w:p>
    <w:p w:rsidR="0064434A" w:rsidRPr="00543E32" w:rsidRDefault="007D06FD" w:rsidP="00543E32">
      <w:pPr>
        <w:pStyle w:val="ListParagraph"/>
        <w:numPr>
          <w:ilvl w:val="0"/>
          <w:numId w:val="2"/>
        </w:numPr>
        <w:tabs>
          <w:tab w:val="left" w:pos="839"/>
          <w:tab w:val="left" w:pos="840"/>
        </w:tabs>
        <w:spacing w:before="1"/>
        <w:rPr>
          <w:rFonts w:asciiTheme="minorHAnsi" w:hAnsiTheme="minorHAnsi" w:cstheme="minorHAnsi"/>
          <w:sz w:val="24"/>
          <w:szCs w:val="24"/>
        </w:rPr>
      </w:pPr>
      <w:r w:rsidRPr="00543E32">
        <w:rPr>
          <w:rFonts w:asciiTheme="minorHAnsi" w:hAnsiTheme="minorHAnsi" w:cstheme="minorHAnsi"/>
          <w:sz w:val="24"/>
          <w:szCs w:val="24"/>
        </w:rPr>
        <w:t>Certified documents from the court, showing plea and</w:t>
      </w:r>
      <w:r w:rsidRPr="00543E32">
        <w:rPr>
          <w:rFonts w:asciiTheme="minorHAnsi" w:hAnsiTheme="minorHAnsi" w:cstheme="minorHAnsi"/>
          <w:spacing w:val="-8"/>
          <w:sz w:val="24"/>
          <w:szCs w:val="24"/>
        </w:rPr>
        <w:t xml:space="preserve"> </w:t>
      </w:r>
      <w:r w:rsidRPr="00543E32">
        <w:rPr>
          <w:rFonts w:asciiTheme="minorHAnsi" w:hAnsiTheme="minorHAnsi" w:cstheme="minorHAnsi"/>
          <w:sz w:val="24"/>
          <w:szCs w:val="24"/>
        </w:rPr>
        <w:t>sentencing</w:t>
      </w:r>
    </w:p>
    <w:p w:rsidR="0064434A" w:rsidRPr="00543E32" w:rsidRDefault="0064434A" w:rsidP="00543E32">
      <w:pPr>
        <w:pStyle w:val="BodyText"/>
        <w:spacing w:before="9"/>
        <w:rPr>
          <w:rFonts w:asciiTheme="minorHAnsi" w:hAnsiTheme="minorHAnsi" w:cstheme="minorHAnsi"/>
        </w:rPr>
      </w:pPr>
    </w:p>
    <w:p w:rsidR="0064434A" w:rsidRPr="00543E32" w:rsidRDefault="007D06FD" w:rsidP="00543E32">
      <w:pPr>
        <w:pStyle w:val="ListParagraph"/>
        <w:numPr>
          <w:ilvl w:val="0"/>
          <w:numId w:val="2"/>
        </w:numPr>
        <w:tabs>
          <w:tab w:val="left" w:pos="839"/>
          <w:tab w:val="left" w:pos="840"/>
        </w:tabs>
        <w:spacing w:before="1"/>
        <w:ind w:right="343"/>
        <w:rPr>
          <w:rFonts w:asciiTheme="minorHAnsi" w:hAnsiTheme="minorHAnsi" w:cstheme="minorHAnsi"/>
          <w:sz w:val="24"/>
          <w:szCs w:val="24"/>
        </w:rPr>
      </w:pPr>
      <w:r w:rsidRPr="00543E32">
        <w:rPr>
          <w:rFonts w:asciiTheme="minorHAnsi" w:hAnsiTheme="minorHAnsi" w:cstheme="minorHAnsi"/>
          <w:sz w:val="24"/>
          <w:szCs w:val="24"/>
        </w:rPr>
        <w:t>Arrest</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report</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from</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the</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law</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enforcement</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agency</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(usually</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a</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police</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or</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Sheriff's</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department) and,</w:t>
      </w:r>
    </w:p>
    <w:p w:rsidR="0064434A" w:rsidRPr="00543E32" w:rsidRDefault="0064434A" w:rsidP="00543E32">
      <w:pPr>
        <w:pStyle w:val="BodyText"/>
        <w:spacing w:before="10"/>
        <w:rPr>
          <w:rFonts w:asciiTheme="minorHAnsi" w:hAnsiTheme="minorHAnsi" w:cstheme="minorHAnsi"/>
        </w:rPr>
      </w:pPr>
    </w:p>
    <w:p w:rsidR="0064434A" w:rsidRPr="00543E32" w:rsidRDefault="007D06FD" w:rsidP="00543E32">
      <w:pPr>
        <w:pStyle w:val="ListParagraph"/>
        <w:numPr>
          <w:ilvl w:val="0"/>
          <w:numId w:val="2"/>
        </w:numPr>
        <w:tabs>
          <w:tab w:val="left" w:pos="839"/>
          <w:tab w:val="left" w:pos="840"/>
        </w:tabs>
        <w:spacing w:before="4"/>
        <w:ind w:right="681"/>
        <w:rPr>
          <w:rFonts w:asciiTheme="minorHAnsi" w:hAnsiTheme="minorHAnsi" w:cstheme="minorHAnsi"/>
          <w:sz w:val="24"/>
          <w:szCs w:val="24"/>
        </w:rPr>
      </w:pPr>
      <w:r w:rsidRPr="00543E32">
        <w:rPr>
          <w:rFonts w:asciiTheme="minorHAnsi" w:hAnsiTheme="minorHAnsi" w:cstheme="minorHAnsi"/>
          <w:sz w:val="24"/>
          <w:szCs w:val="24"/>
        </w:rPr>
        <w:t>A</w:t>
      </w:r>
      <w:r w:rsidR="00C44992" w:rsidRPr="00543E32">
        <w:rPr>
          <w:rFonts w:asciiTheme="minorHAnsi" w:hAnsiTheme="minorHAnsi" w:cstheme="minorHAnsi"/>
          <w:sz w:val="24"/>
          <w:szCs w:val="24"/>
        </w:rPr>
        <w:t xml:space="preserve">n </w:t>
      </w:r>
      <w:r w:rsidRPr="00543E32">
        <w:rPr>
          <w:rFonts w:asciiTheme="minorHAnsi" w:hAnsiTheme="minorHAnsi" w:cstheme="minorHAnsi"/>
          <w:sz w:val="24"/>
          <w:szCs w:val="24"/>
        </w:rPr>
        <w:t>explanation</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of</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the</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incident</w:t>
      </w:r>
      <w:r w:rsidRPr="00543E32">
        <w:rPr>
          <w:rFonts w:asciiTheme="minorHAnsi" w:hAnsiTheme="minorHAnsi" w:cstheme="minorHAnsi"/>
          <w:spacing w:val="-3"/>
          <w:sz w:val="24"/>
          <w:szCs w:val="24"/>
        </w:rPr>
        <w:t xml:space="preserve"> </w:t>
      </w:r>
      <w:r w:rsidRPr="00543E32">
        <w:rPr>
          <w:rFonts w:asciiTheme="minorHAnsi" w:hAnsiTheme="minorHAnsi" w:cstheme="minorHAnsi"/>
          <w:sz w:val="24"/>
          <w:szCs w:val="24"/>
        </w:rPr>
        <w:t>that</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lead</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to</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the</w:t>
      </w:r>
      <w:r w:rsidRPr="00543E32">
        <w:rPr>
          <w:rFonts w:asciiTheme="minorHAnsi" w:hAnsiTheme="minorHAnsi" w:cstheme="minorHAnsi"/>
          <w:spacing w:val="-5"/>
          <w:sz w:val="24"/>
          <w:szCs w:val="24"/>
        </w:rPr>
        <w:t xml:space="preserve"> </w:t>
      </w:r>
      <w:r w:rsidR="008C5E15" w:rsidRPr="00543E32">
        <w:rPr>
          <w:rFonts w:asciiTheme="minorHAnsi" w:hAnsiTheme="minorHAnsi" w:cstheme="minorHAnsi"/>
          <w:sz w:val="24"/>
          <w:szCs w:val="24"/>
        </w:rPr>
        <w:t>arrest by completing the</w:t>
      </w:r>
      <w:r w:rsidRPr="00543E32">
        <w:rPr>
          <w:rFonts w:asciiTheme="minorHAnsi" w:hAnsiTheme="minorHAnsi" w:cstheme="minorHAnsi"/>
          <w:color w:val="0000FF"/>
          <w:spacing w:val="-7"/>
          <w:sz w:val="24"/>
          <w:szCs w:val="24"/>
        </w:rPr>
        <w:t xml:space="preserve"> </w:t>
      </w:r>
      <w:hyperlink r:id="rId5" w:history="1">
        <w:r w:rsidR="00C44992" w:rsidRPr="00543E32">
          <w:rPr>
            <w:rStyle w:val="Hyperlink"/>
            <w:rFonts w:asciiTheme="minorHAnsi" w:hAnsiTheme="minorHAnsi" w:cstheme="minorHAnsi"/>
            <w:sz w:val="24"/>
            <w:szCs w:val="24"/>
          </w:rPr>
          <w:t>CTC Personal and Professional Fitness Explanation Forms</w:t>
        </w:r>
      </w:hyperlink>
      <w:r w:rsidRPr="00543E32">
        <w:rPr>
          <w:rFonts w:asciiTheme="minorHAnsi" w:hAnsiTheme="minorHAnsi" w:cstheme="minorHAnsi"/>
          <w:sz w:val="24"/>
          <w:szCs w:val="24"/>
        </w:rPr>
        <w:t>**</w:t>
      </w:r>
    </w:p>
    <w:p w:rsidR="00235801" w:rsidRPr="00543E32" w:rsidRDefault="00235801" w:rsidP="00235801">
      <w:pPr>
        <w:pStyle w:val="ListParagraph"/>
        <w:rPr>
          <w:rFonts w:asciiTheme="minorHAnsi" w:hAnsiTheme="minorHAnsi" w:cstheme="minorHAnsi"/>
          <w:sz w:val="24"/>
          <w:szCs w:val="24"/>
        </w:rPr>
      </w:pPr>
    </w:p>
    <w:p w:rsidR="00235801" w:rsidRPr="00543E32" w:rsidRDefault="00235801" w:rsidP="00235801">
      <w:pPr>
        <w:pStyle w:val="ListParagraph"/>
        <w:tabs>
          <w:tab w:val="left" w:pos="839"/>
          <w:tab w:val="left" w:pos="840"/>
        </w:tabs>
        <w:spacing w:before="4"/>
        <w:ind w:right="681" w:firstLine="0"/>
        <w:rPr>
          <w:rFonts w:asciiTheme="minorHAnsi" w:hAnsiTheme="minorHAnsi" w:cstheme="minorHAnsi"/>
          <w:sz w:val="24"/>
          <w:szCs w:val="24"/>
        </w:rPr>
      </w:pPr>
      <w:bookmarkStart w:id="0" w:name="_GoBack"/>
      <w:bookmarkEnd w:id="0"/>
    </w:p>
    <w:p w:rsidR="0064434A" w:rsidRPr="00543E32" w:rsidRDefault="007D06FD">
      <w:pPr>
        <w:pStyle w:val="Heading1"/>
        <w:spacing w:before="93"/>
        <w:ind w:right="733"/>
        <w:rPr>
          <w:rFonts w:asciiTheme="minorHAnsi" w:hAnsiTheme="minorHAnsi" w:cstheme="minorHAnsi"/>
        </w:rPr>
      </w:pPr>
      <w:r w:rsidRPr="00543E32">
        <w:rPr>
          <w:rFonts w:asciiTheme="minorHAnsi" w:hAnsiTheme="minorHAnsi" w:cstheme="minorHAnsi"/>
        </w:rPr>
        <w:t>What does the Commission consider when deciding whether to grant a credential to someone with a criminal history?</w:t>
      </w:r>
    </w:p>
    <w:p w:rsidR="0064434A" w:rsidRPr="00543E32" w:rsidRDefault="0064434A">
      <w:pPr>
        <w:pStyle w:val="BodyText"/>
        <w:spacing w:before="3"/>
        <w:rPr>
          <w:rFonts w:asciiTheme="minorHAnsi" w:hAnsiTheme="minorHAnsi" w:cstheme="minorHAnsi"/>
          <w:b/>
        </w:rPr>
      </w:pPr>
    </w:p>
    <w:p w:rsidR="0064434A" w:rsidRPr="00543E32" w:rsidRDefault="007D06FD">
      <w:pPr>
        <w:pStyle w:val="BodyText"/>
        <w:ind w:left="119" w:right="702"/>
        <w:rPr>
          <w:rFonts w:asciiTheme="minorHAnsi" w:hAnsiTheme="minorHAnsi" w:cstheme="minorHAnsi"/>
        </w:rPr>
      </w:pPr>
      <w:r w:rsidRPr="00543E32">
        <w:rPr>
          <w:rFonts w:asciiTheme="minorHAnsi" w:hAnsiTheme="minorHAnsi" w:cstheme="minorHAnsi"/>
        </w:rPr>
        <w:t>If the conviction is not on the list of convictions that require the Commission to deny the application, the Commission will consider how long ago the misconduct occurred, any prior record of misconduct, references, rehabilitation, and other factors.</w:t>
      </w:r>
    </w:p>
    <w:p w:rsidR="0064434A" w:rsidRPr="00543E32" w:rsidRDefault="0064434A">
      <w:pPr>
        <w:pStyle w:val="BodyText"/>
        <w:spacing w:before="4"/>
        <w:rPr>
          <w:rFonts w:asciiTheme="minorHAnsi" w:hAnsiTheme="minorHAnsi" w:cstheme="minorHAnsi"/>
        </w:rPr>
      </w:pPr>
    </w:p>
    <w:p w:rsidR="0064434A" w:rsidRPr="00543E32" w:rsidRDefault="007D06FD">
      <w:pPr>
        <w:pStyle w:val="BodyText"/>
        <w:ind w:left="119" w:right="135"/>
        <w:rPr>
          <w:rFonts w:asciiTheme="minorHAnsi" w:hAnsiTheme="minorHAnsi" w:cstheme="minorHAnsi"/>
        </w:rPr>
      </w:pPr>
      <w:r w:rsidRPr="00543E32">
        <w:rPr>
          <w:rFonts w:asciiTheme="minorHAnsi" w:hAnsiTheme="minorHAnsi" w:cstheme="minorHAnsi"/>
        </w:rPr>
        <w:t>**After you have submitted your sub paperwork to SCOE along with the state application form for your sub permit, you will need to download the personal and professional fitness explanation form and mail it to the state.</w:t>
      </w:r>
    </w:p>
    <w:p w:rsidR="0064434A" w:rsidRPr="00543E32" w:rsidRDefault="0064434A">
      <w:pPr>
        <w:pStyle w:val="BodyText"/>
        <w:spacing w:before="3"/>
        <w:rPr>
          <w:rFonts w:asciiTheme="minorHAnsi" w:hAnsiTheme="minorHAnsi" w:cstheme="minorHAnsi"/>
        </w:rPr>
      </w:pPr>
    </w:p>
    <w:p w:rsidR="0064434A" w:rsidRPr="00543E32" w:rsidRDefault="007D06FD">
      <w:pPr>
        <w:pStyle w:val="ListParagraph"/>
        <w:numPr>
          <w:ilvl w:val="0"/>
          <w:numId w:val="1"/>
        </w:numPr>
        <w:tabs>
          <w:tab w:val="left" w:pos="840"/>
        </w:tabs>
        <w:spacing w:before="1"/>
        <w:rPr>
          <w:rFonts w:asciiTheme="minorHAnsi" w:hAnsiTheme="minorHAnsi" w:cstheme="minorHAnsi"/>
          <w:sz w:val="24"/>
          <w:szCs w:val="24"/>
        </w:rPr>
      </w:pPr>
      <w:r w:rsidRPr="00543E32">
        <w:rPr>
          <w:rFonts w:asciiTheme="minorHAnsi" w:hAnsiTheme="minorHAnsi" w:cstheme="minorHAnsi"/>
          <w:sz w:val="24"/>
          <w:szCs w:val="24"/>
        </w:rPr>
        <w:t>Go the California Commission on Teacher Credentialing website:</w:t>
      </w:r>
      <w:r w:rsidRPr="00543E32">
        <w:rPr>
          <w:rFonts w:asciiTheme="minorHAnsi" w:hAnsiTheme="minorHAnsi" w:cstheme="minorHAnsi"/>
          <w:color w:val="0000FF"/>
          <w:spacing w:val="46"/>
          <w:sz w:val="24"/>
          <w:szCs w:val="24"/>
        </w:rPr>
        <w:t xml:space="preserve"> </w:t>
      </w:r>
      <w:hyperlink r:id="rId6">
        <w:r w:rsidRPr="00543E32">
          <w:rPr>
            <w:rFonts w:asciiTheme="minorHAnsi" w:hAnsiTheme="minorHAnsi" w:cstheme="minorHAnsi"/>
            <w:color w:val="0000FF"/>
            <w:sz w:val="24"/>
            <w:szCs w:val="24"/>
            <w:u w:val="single" w:color="0000FF"/>
          </w:rPr>
          <w:t>www.ctc.ca.gov</w:t>
        </w:r>
      </w:hyperlink>
    </w:p>
    <w:p w:rsidR="0064434A" w:rsidRPr="00543E32" w:rsidRDefault="007D06FD">
      <w:pPr>
        <w:pStyle w:val="ListParagraph"/>
        <w:numPr>
          <w:ilvl w:val="0"/>
          <w:numId w:val="1"/>
        </w:numPr>
        <w:tabs>
          <w:tab w:val="left" w:pos="840"/>
        </w:tabs>
        <w:rPr>
          <w:rFonts w:asciiTheme="minorHAnsi" w:hAnsiTheme="minorHAnsi" w:cstheme="minorHAnsi"/>
          <w:sz w:val="24"/>
          <w:szCs w:val="24"/>
        </w:rPr>
      </w:pPr>
      <w:r w:rsidRPr="00543E32">
        <w:rPr>
          <w:rFonts w:asciiTheme="minorHAnsi" w:hAnsiTheme="minorHAnsi" w:cstheme="minorHAnsi"/>
          <w:sz w:val="24"/>
          <w:szCs w:val="24"/>
        </w:rPr>
        <w:t>Click on the “CA Educators”</w:t>
      </w:r>
      <w:r w:rsidRPr="00543E32">
        <w:rPr>
          <w:rFonts w:asciiTheme="minorHAnsi" w:hAnsiTheme="minorHAnsi" w:cstheme="minorHAnsi"/>
          <w:spacing w:val="-1"/>
          <w:sz w:val="24"/>
          <w:szCs w:val="24"/>
        </w:rPr>
        <w:t xml:space="preserve"> </w:t>
      </w:r>
      <w:r w:rsidRPr="00543E32">
        <w:rPr>
          <w:rFonts w:asciiTheme="minorHAnsi" w:hAnsiTheme="minorHAnsi" w:cstheme="minorHAnsi"/>
          <w:sz w:val="24"/>
          <w:szCs w:val="24"/>
        </w:rPr>
        <w:t>tab</w:t>
      </w:r>
    </w:p>
    <w:p w:rsidR="0064434A" w:rsidRPr="00543E32" w:rsidRDefault="007D06FD">
      <w:pPr>
        <w:pStyle w:val="ListParagraph"/>
        <w:numPr>
          <w:ilvl w:val="0"/>
          <w:numId w:val="1"/>
        </w:numPr>
        <w:tabs>
          <w:tab w:val="left" w:pos="840"/>
        </w:tabs>
        <w:rPr>
          <w:rFonts w:asciiTheme="minorHAnsi" w:hAnsiTheme="minorHAnsi" w:cstheme="minorHAnsi"/>
          <w:sz w:val="24"/>
          <w:szCs w:val="24"/>
        </w:rPr>
      </w:pPr>
      <w:r w:rsidRPr="00543E32">
        <w:rPr>
          <w:rFonts w:asciiTheme="minorHAnsi" w:hAnsiTheme="minorHAnsi" w:cstheme="minorHAnsi"/>
          <w:sz w:val="24"/>
          <w:szCs w:val="24"/>
        </w:rPr>
        <w:t>Click on “Applications, Forms, Leaflets, &amp;</w:t>
      </w:r>
      <w:r w:rsidRPr="00543E32">
        <w:rPr>
          <w:rFonts w:asciiTheme="minorHAnsi" w:hAnsiTheme="minorHAnsi" w:cstheme="minorHAnsi"/>
          <w:spacing w:val="-1"/>
          <w:sz w:val="24"/>
          <w:szCs w:val="24"/>
        </w:rPr>
        <w:t xml:space="preserve"> </w:t>
      </w:r>
      <w:r w:rsidRPr="00543E32">
        <w:rPr>
          <w:rFonts w:asciiTheme="minorHAnsi" w:hAnsiTheme="minorHAnsi" w:cstheme="minorHAnsi"/>
          <w:sz w:val="24"/>
          <w:szCs w:val="24"/>
        </w:rPr>
        <w:t>Manuals”</w:t>
      </w:r>
    </w:p>
    <w:p w:rsidR="0064434A" w:rsidRPr="00543E32" w:rsidRDefault="007D06FD">
      <w:pPr>
        <w:pStyle w:val="ListParagraph"/>
        <w:numPr>
          <w:ilvl w:val="0"/>
          <w:numId w:val="1"/>
        </w:numPr>
        <w:tabs>
          <w:tab w:val="left" w:pos="840"/>
        </w:tabs>
        <w:rPr>
          <w:rFonts w:asciiTheme="minorHAnsi" w:hAnsiTheme="minorHAnsi" w:cstheme="minorHAnsi"/>
          <w:sz w:val="24"/>
          <w:szCs w:val="24"/>
        </w:rPr>
      </w:pPr>
      <w:r w:rsidRPr="00543E32">
        <w:rPr>
          <w:rFonts w:asciiTheme="minorHAnsi" w:hAnsiTheme="minorHAnsi" w:cstheme="minorHAnsi"/>
          <w:sz w:val="24"/>
          <w:szCs w:val="24"/>
        </w:rPr>
        <w:t>In the “Search box” type</w:t>
      </w:r>
      <w:r w:rsidRPr="00543E32">
        <w:rPr>
          <w:rFonts w:asciiTheme="minorHAnsi" w:hAnsiTheme="minorHAnsi" w:cstheme="minorHAnsi"/>
          <w:spacing w:val="-2"/>
          <w:sz w:val="24"/>
          <w:szCs w:val="24"/>
        </w:rPr>
        <w:t xml:space="preserve"> </w:t>
      </w:r>
      <w:r w:rsidRPr="00543E32">
        <w:rPr>
          <w:rFonts w:asciiTheme="minorHAnsi" w:hAnsiTheme="minorHAnsi" w:cstheme="minorHAnsi"/>
          <w:sz w:val="24"/>
          <w:szCs w:val="24"/>
        </w:rPr>
        <w:t>OA-EF</w:t>
      </w:r>
    </w:p>
    <w:p w:rsidR="0064434A" w:rsidRPr="00543E32" w:rsidRDefault="007D06FD" w:rsidP="005960AE">
      <w:pPr>
        <w:pStyle w:val="ListParagraph"/>
        <w:numPr>
          <w:ilvl w:val="0"/>
          <w:numId w:val="1"/>
        </w:numPr>
        <w:tabs>
          <w:tab w:val="left" w:pos="840"/>
        </w:tabs>
        <w:ind w:right="268"/>
        <w:rPr>
          <w:rFonts w:asciiTheme="minorHAnsi" w:hAnsiTheme="minorHAnsi" w:cstheme="minorHAnsi"/>
          <w:sz w:val="24"/>
          <w:szCs w:val="24"/>
        </w:rPr>
      </w:pPr>
      <w:r w:rsidRPr="00543E32">
        <w:rPr>
          <w:rFonts w:asciiTheme="minorHAnsi" w:hAnsiTheme="minorHAnsi" w:cstheme="minorHAnsi"/>
          <w:sz w:val="24"/>
          <w:szCs w:val="24"/>
        </w:rPr>
        <w:t>Download</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the</w:t>
      </w:r>
      <w:r w:rsidRPr="00543E32">
        <w:rPr>
          <w:rFonts w:asciiTheme="minorHAnsi" w:hAnsiTheme="minorHAnsi" w:cstheme="minorHAnsi"/>
          <w:spacing w:val="-4"/>
          <w:sz w:val="24"/>
          <w:szCs w:val="24"/>
        </w:rPr>
        <w:t xml:space="preserve"> </w:t>
      </w:r>
      <w:r w:rsidR="00C44992" w:rsidRPr="00543E32">
        <w:rPr>
          <w:rFonts w:asciiTheme="minorHAnsi" w:hAnsiTheme="minorHAnsi" w:cstheme="minorHAnsi"/>
          <w:spacing w:val="-4"/>
          <w:sz w:val="24"/>
          <w:szCs w:val="24"/>
        </w:rPr>
        <w:t xml:space="preserve">CTC Personal and </w:t>
      </w:r>
      <w:r w:rsidRPr="00543E32">
        <w:rPr>
          <w:rFonts w:asciiTheme="minorHAnsi" w:hAnsiTheme="minorHAnsi" w:cstheme="minorHAnsi"/>
          <w:sz w:val="24"/>
          <w:szCs w:val="24"/>
        </w:rPr>
        <w:t>Professional</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Fitness</w:t>
      </w:r>
      <w:r w:rsidRPr="00543E32">
        <w:rPr>
          <w:rFonts w:asciiTheme="minorHAnsi" w:hAnsiTheme="minorHAnsi" w:cstheme="minorHAnsi"/>
          <w:spacing w:val="-4"/>
          <w:sz w:val="24"/>
          <w:szCs w:val="24"/>
        </w:rPr>
        <w:t xml:space="preserve"> </w:t>
      </w:r>
      <w:r w:rsidRPr="00543E32">
        <w:rPr>
          <w:rFonts w:asciiTheme="minorHAnsi" w:hAnsiTheme="minorHAnsi" w:cstheme="minorHAnsi"/>
          <w:sz w:val="24"/>
          <w:szCs w:val="24"/>
        </w:rPr>
        <w:t>Explanation</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Form</w:t>
      </w:r>
      <w:r w:rsidR="00C44992" w:rsidRPr="00543E32">
        <w:rPr>
          <w:rFonts w:asciiTheme="minorHAnsi" w:hAnsiTheme="minorHAnsi" w:cstheme="minorHAnsi"/>
          <w:sz w:val="24"/>
          <w:szCs w:val="24"/>
        </w:rPr>
        <w:t>s</w:t>
      </w:r>
      <w:r w:rsidRPr="00543E32">
        <w:rPr>
          <w:rFonts w:asciiTheme="minorHAnsi" w:hAnsiTheme="minorHAnsi" w:cstheme="minorHAnsi"/>
          <w:spacing w:val="-4"/>
          <w:sz w:val="24"/>
          <w:szCs w:val="24"/>
        </w:rPr>
        <w:t xml:space="preserve"> </w:t>
      </w:r>
      <w:r w:rsidRPr="00543E32">
        <w:rPr>
          <w:rFonts w:asciiTheme="minorHAnsi" w:hAnsiTheme="minorHAnsi" w:cstheme="minorHAnsi"/>
          <w:sz w:val="24"/>
          <w:szCs w:val="24"/>
        </w:rPr>
        <w:t>and</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mail</w:t>
      </w:r>
      <w:r w:rsidRPr="00543E32">
        <w:rPr>
          <w:rFonts w:asciiTheme="minorHAnsi" w:hAnsiTheme="minorHAnsi" w:cstheme="minorHAnsi"/>
          <w:spacing w:val="-4"/>
          <w:sz w:val="24"/>
          <w:szCs w:val="24"/>
        </w:rPr>
        <w:t xml:space="preserve"> </w:t>
      </w:r>
      <w:r w:rsidRPr="00543E32">
        <w:rPr>
          <w:rFonts w:asciiTheme="minorHAnsi" w:hAnsiTheme="minorHAnsi" w:cstheme="minorHAnsi"/>
          <w:sz w:val="24"/>
          <w:szCs w:val="24"/>
        </w:rPr>
        <w:t>to</w:t>
      </w:r>
      <w:r w:rsidRPr="00543E32">
        <w:rPr>
          <w:rFonts w:asciiTheme="minorHAnsi" w:hAnsiTheme="minorHAnsi" w:cstheme="minorHAnsi"/>
          <w:spacing w:val="-4"/>
          <w:sz w:val="24"/>
          <w:szCs w:val="24"/>
        </w:rPr>
        <w:t xml:space="preserve"> </w:t>
      </w:r>
      <w:r w:rsidRPr="00543E32">
        <w:rPr>
          <w:rFonts w:asciiTheme="minorHAnsi" w:hAnsiTheme="minorHAnsi" w:cstheme="minorHAnsi"/>
          <w:sz w:val="24"/>
          <w:szCs w:val="24"/>
        </w:rPr>
        <w:t>the</w:t>
      </w:r>
      <w:r w:rsidRPr="00543E32">
        <w:rPr>
          <w:rFonts w:asciiTheme="minorHAnsi" w:hAnsiTheme="minorHAnsi" w:cstheme="minorHAnsi"/>
          <w:spacing w:val="-5"/>
          <w:sz w:val="24"/>
          <w:szCs w:val="24"/>
        </w:rPr>
        <w:t xml:space="preserve"> </w:t>
      </w:r>
      <w:r w:rsidRPr="00543E32">
        <w:rPr>
          <w:rFonts w:asciiTheme="minorHAnsi" w:hAnsiTheme="minorHAnsi" w:cstheme="minorHAnsi"/>
          <w:sz w:val="24"/>
          <w:szCs w:val="24"/>
        </w:rPr>
        <w:t>state along with your other</w:t>
      </w:r>
      <w:r w:rsidRPr="00543E32">
        <w:rPr>
          <w:rFonts w:asciiTheme="minorHAnsi" w:hAnsiTheme="minorHAnsi" w:cstheme="minorHAnsi"/>
          <w:spacing w:val="-2"/>
          <w:sz w:val="24"/>
          <w:szCs w:val="24"/>
        </w:rPr>
        <w:t xml:space="preserve"> </w:t>
      </w:r>
      <w:r w:rsidR="005960AE" w:rsidRPr="00543E32">
        <w:rPr>
          <w:rFonts w:asciiTheme="minorHAnsi" w:hAnsiTheme="minorHAnsi" w:cstheme="minorHAnsi"/>
          <w:sz w:val="24"/>
          <w:szCs w:val="24"/>
        </w:rPr>
        <w:t xml:space="preserve">documentation:  </w:t>
      </w:r>
      <w:r w:rsidRPr="00543E32">
        <w:rPr>
          <w:rFonts w:asciiTheme="minorHAnsi" w:hAnsiTheme="minorHAnsi" w:cstheme="minorHAnsi"/>
          <w:sz w:val="24"/>
          <w:szCs w:val="24"/>
        </w:rPr>
        <w:t>CCTC, 1900 Capitol Avenue, Sacramento, CA</w:t>
      </w:r>
      <w:r w:rsidRPr="00543E32">
        <w:rPr>
          <w:rFonts w:asciiTheme="minorHAnsi" w:hAnsiTheme="minorHAnsi" w:cstheme="minorHAnsi"/>
          <w:spacing w:val="62"/>
          <w:sz w:val="24"/>
          <w:szCs w:val="24"/>
        </w:rPr>
        <w:t xml:space="preserve"> </w:t>
      </w:r>
      <w:r w:rsidRPr="00543E32">
        <w:rPr>
          <w:rFonts w:asciiTheme="minorHAnsi" w:hAnsiTheme="minorHAnsi" w:cstheme="minorHAnsi"/>
          <w:sz w:val="24"/>
          <w:szCs w:val="24"/>
        </w:rPr>
        <w:t>95811</w:t>
      </w:r>
    </w:p>
    <w:p w:rsidR="0064434A" w:rsidRPr="00543E32" w:rsidRDefault="0064434A">
      <w:pPr>
        <w:pStyle w:val="BodyText"/>
        <w:spacing w:before="4"/>
        <w:rPr>
          <w:rFonts w:asciiTheme="minorHAnsi" w:hAnsiTheme="minorHAnsi" w:cstheme="minorHAnsi"/>
        </w:rPr>
      </w:pPr>
    </w:p>
    <w:p w:rsidR="0064434A" w:rsidRPr="00543E32" w:rsidRDefault="007D06FD">
      <w:pPr>
        <w:pStyle w:val="BodyText"/>
        <w:spacing w:before="1"/>
        <w:ind w:left="119" w:right="115"/>
        <w:rPr>
          <w:rFonts w:asciiTheme="minorHAnsi" w:hAnsiTheme="minorHAnsi" w:cstheme="minorHAnsi"/>
        </w:rPr>
      </w:pPr>
      <w:r w:rsidRPr="00543E32">
        <w:rPr>
          <w:rFonts w:asciiTheme="minorHAnsi" w:hAnsiTheme="minorHAnsi" w:cstheme="minorHAnsi"/>
        </w:rPr>
        <w:t>For more information</w:t>
      </w:r>
      <w:r w:rsidR="00C44992" w:rsidRPr="00543E32">
        <w:rPr>
          <w:rFonts w:asciiTheme="minorHAnsi" w:hAnsiTheme="minorHAnsi" w:cstheme="minorHAnsi"/>
        </w:rPr>
        <w:t>,</w:t>
      </w:r>
      <w:r w:rsidRPr="00543E32">
        <w:rPr>
          <w:rFonts w:asciiTheme="minorHAnsi" w:hAnsiTheme="minorHAnsi" w:cstheme="minorHAnsi"/>
        </w:rPr>
        <w:t xml:space="preserve"> please go to the California Commission on Teacher Credentialing website at </w:t>
      </w:r>
      <w:hyperlink r:id="rId7">
        <w:r w:rsidRPr="00543E32">
          <w:rPr>
            <w:rFonts w:asciiTheme="minorHAnsi" w:hAnsiTheme="minorHAnsi" w:cstheme="minorHAnsi"/>
            <w:color w:val="0000FF"/>
            <w:u w:val="single" w:color="0000FF"/>
          </w:rPr>
          <w:t>www.ctc.ca.gov</w:t>
        </w:r>
        <w:r w:rsidRPr="00543E32">
          <w:rPr>
            <w:rFonts w:asciiTheme="minorHAnsi" w:hAnsiTheme="minorHAnsi" w:cstheme="minorHAnsi"/>
            <w:color w:val="0000FF"/>
          </w:rPr>
          <w:t xml:space="preserve"> </w:t>
        </w:r>
      </w:hyperlink>
      <w:r w:rsidRPr="00543E32">
        <w:rPr>
          <w:rFonts w:asciiTheme="minorHAnsi" w:hAnsiTheme="minorHAnsi" w:cstheme="minorHAnsi"/>
        </w:rPr>
        <w:t>and look for the “Educator Misconduct” tab.</w:t>
      </w:r>
    </w:p>
    <w:p w:rsidR="0064434A" w:rsidRPr="00543E32" w:rsidRDefault="0064434A">
      <w:pPr>
        <w:pStyle w:val="BodyText"/>
        <w:rPr>
          <w:rFonts w:asciiTheme="minorHAnsi" w:hAnsiTheme="minorHAnsi" w:cstheme="minorHAnsi"/>
        </w:rPr>
      </w:pPr>
    </w:p>
    <w:p w:rsidR="0064434A" w:rsidRPr="00543E32" w:rsidRDefault="0064434A">
      <w:pPr>
        <w:pStyle w:val="BodyText"/>
        <w:rPr>
          <w:rFonts w:asciiTheme="minorHAnsi" w:hAnsiTheme="minorHAnsi" w:cstheme="minorHAnsi"/>
        </w:rPr>
      </w:pPr>
    </w:p>
    <w:p w:rsidR="0064434A" w:rsidRPr="00543E32" w:rsidRDefault="008C5E15">
      <w:pPr>
        <w:spacing w:before="192"/>
        <w:ind w:left="119"/>
        <w:rPr>
          <w:rFonts w:asciiTheme="minorHAnsi" w:hAnsiTheme="minorHAnsi" w:cstheme="minorHAnsi"/>
          <w:sz w:val="16"/>
          <w:szCs w:val="16"/>
        </w:rPr>
      </w:pPr>
      <w:r w:rsidRPr="00543E32">
        <w:rPr>
          <w:rFonts w:asciiTheme="minorHAnsi" w:hAnsiTheme="minorHAnsi" w:cstheme="minorHAnsi"/>
          <w:sz w:val="16"/>
          <w:szCs w:val="16"/>
        </w:rPr>
        <w:t>Revised 6/19</w:t>
      </w:r>
    </w:p>
    <w:sectPr w:rsidR="0064434A" w:rsidRPr="00543E32">
      <w:pgSz w:w="12240" w:h="15840"/>
      <w:pgMar w:top="920" w:right="9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9F2"/>
    <w:multiLevelType w:val="hybridMultilevel"/>
    <w:tmpl w:val="AD1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443F5"/>
    <w:multiLevelType w:val="hybridMultilevel"/>
    <w:tmpl w:val="F2A0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265D3"/>
    <w:multiLevelType w:val="hybridMultilevel"/>
    <w:tmpl w:val="2F565222"/>
    <w:lvl w:ilvl="0" w:tplc="61C4FE5A">
      <w:numFmt w:val="bullet"/>
      <w:lvlText w:val=""/>
      <w:lvlJc w:val="left"/>
      <w:pPr>
        <w:ind w:left="839" w:hanging="360"/>
      </w:pPr>
      <w:rPr>
        <w:rFonts w:ascii="Symbol" w:eastAsia="Symbol" w:hAnsi="Symbol" w:cs="Symbol" w:hint="default"/>
        <w:w w:val="100"/>
        <w:sz w:val="20"/>
        <w:szCs w:val="20"/>
        <w:lang w:val="en-US" w:eastAsia="en-US" w:bidi="en-US"/>
      </w:rPr>
    </w:lvl>
    <w:lvl w:ilvl="1" w:tplc="7F92A706">
      <w:numFmt w:val="bullet"/>
      <w:lvlText w:val="•"/>
      <w:lvlJc w:val="left"/>
      <w:pPr>
        <w:ind w:left="1802" w:hanging="360"/>
      </w:pPr>
      <w:rPr>
        <w:rFonts w:hint="default"/>
        <w:lang w:val="en-US" w:eastAsia="en-US" w:bidi="en-US"/>
      </w:rPr>
    </w:lvl>
    <w:lvl w:ilvl="2" w:tplc="45624982">
      <w:numFmt w:val="bullet"/>
      <w:lvlText w:val="•"/>
      <w:lvlJc w:val="left"/>
      <w:pPr>
        <w:ind w:left="2764" w:hanging="360"/>
      </w:pPr>
      <w:rPr>
        <w:rFonts w:hint="default"/>
        <w:lang w:val="en-US" w:eastAsia="en-US" w:bidi="en-US"/>
      </w:rPr>
    </w:lvl>
    <w:lvl w:ilvl="3" w:tplc="632E60CA">
      <w:numFmt w:val="bullet"/>
      <w:lvlText w:val="•"/>
      <w:lvlJc w:val="left"/>
      <w:pPr>
        <w:ind w:left="3726" w:hanging="360"/>
      </w:pPr>
      <w:rPr>
        <w:rFonts w:hint="default"/>
        <w:lang w:val="en-US" w:eastAsia="en-US" w:bidi="en-US"/>
      </w:rPr>
    </w:lvl>
    <w:lvl w:ilvl="4" w:tplc="96B655CE">
      <w:numFmt w:val="bullet"/>
      <w:lvlText w:val="•"/>
      <w:lvlJc w:val="left"/>
      <w:pPr>
        <w:ind w:left="4688" w:hanging="360"/>
      </w:pPr>
      <w:rPr>
        <w:rFonts w:hint="default"/>
        <w:lang w:val="en-US" w:eastAsia="en-US" w:bidi="en-US"/>
      </w:rPr>
    </w:lvl>
    <w:lvl w:ilvl="5" w:tplc="152A610E">
      <w:numFmt w:val="bullet"/>
      <w:lvlText w:val="•"/>
      <w:lvlJc w:val="left"/>
      <w:pPr>
        <w:ind w:left="5650" w:hanging="360"/>
      </w:pPr>
      <w:rPr>
        <w:rFonts w:hint="default"/>
        <w:lang w:val="en-US" w:eastAsia="en-US" w:bidi="en-US"/>
      </w:rPr>
    </w:lvl>
    <w:lvl w:ilvl="6" w:tplc="C792E1D4">
      <w:numFmt w:val="bullet"/>
      <w:lvlText w:val="•"/>
      <w:lvlJc w:val="left"/>
      <w:pPr>
        <w:ind w:left="6612" w:hanging="360"/>
      </w:pPr>
      <w:rPr>
        <w:rFonts w:hint="default"/>
        <w:lang w:val="en-US" w:eastAsia="en-US" w:bidi="en-US"/>
      </w:rPr>
    </w:lvl>
    <w:lvl w:ilvl="7" w:tplc="30F20EA2">
      <w:numFmt w:val="bullet"/>
      <w:lvlText w:val="•"/>
      <w:lvlJc w:val="left"/>
      <w:pPr>
        <w:ind w:left="7574" w:hanging="360"/>
      </w:pPr>
      <w:rPr>
        <w:rFonts w:hint="default"/>
        <w:lang w:val="en-US" w:eastAsia="en-US" w:bidi="en-US"/>
      </w:rPr>
    </w:lvl>
    <w:lvl w:ilvl="8" w:tplc="B336ACB6">
      <w:numFmt w:val="bullet"/>
      <w:lvlText w:val="•"/>
      <w:lvlJc w:val="left"/>
      <w:pPr>
        <w:ind w:left="8536" w:hanging="360"/>
      </w:pPr>
      <w:rPr>
        <w:rFonts w:hint="default"/>
        <w:lang w:val="en-US" w:eastAsia="en-US" w:bidi="en-US"/>
      </w:rPr>
    </w:lvl>
  </w:abstractNum>
  <w:abstractNum w:abstractNumId="3" w15:restartNumberingAfterBreak="0">
    <w:nsid w:val="45F91BC4"/>
    <w:multiLevelType w:val="hybridMultilevel"/>
    <w:tmpl w:val="DA8838FA"/>
    <w:lvl w:ilvl="0" w:tplc="5D7CCD4C">
      <w:start w:val="1"/>
      <w:numFmt w:val="decimal"/>
      <w:lvlText w:val="%1."/>
      <w:lvlJc w:val="left"/>
      <w:pPr>
        <w:ind w:left="839" w:hanging="360"/>
        <w:jc w:val="left"/>
      </w:pPr>
      <w:rPr>
        <w:rFonts w:ascii="Arial" w:eastAsia="Arial" w:hAnsi="Arial" w:cs="Arial" w:hint="default"/>
        <w:spacing w:val="-1"/>
        <w:w w:val="99"/>
        <w:sz w:val="24"/>
        <w:szCs w:val="24"/>
        <w:lang w:val="en-US" w:eastAsia="en-US" w:bidi="en-US"/>
      </w:rPr>
    </w:lvl>
    <w:lvl w:ilvl="1" w:tplc="5B286656">
      <w:numFmt w:val="bullet"/>
      <w:lvlText w:val="•"/>
      <w:lvlJc w:val="left"/>
      <w:pPr>
        <w:ind w:left="1802" w:hanging="360"/>
      </w:pPr>
      <w:rPr>
        <w:rFonts w:hint="default"/>
        <w:lang w:val="en-US" w:eastAsia="en-US" w:bidi="en-US"/>
      </w:rPr>
    </w:lvl>
    <w:lvl w:ilvl="2" w:tplc="6E80A888">
      <w:numFmt w:val="bullet"/>
      <w:lvlText w:val="•"/>
      <w:lvlJc w:val="left"/>
      <w:pPr>
        <w:ind w:left="2764" w:hanging="360"/>
      </w:pPr>
      <w:rPr>
        <w:rFonts w:hint="default"/>
        <w:lang w:val="en-US" w:eastAsia="en-US" w:bidi="en-US"/>
      </w:rPr>
    </w:lvl>
    <w:lvl w:ilvl="3" w:tplc="1226B38A">
      <w:numFmt w:val="bullet"/>
      <w:lvlText w:val="•"/>
      <w:lvlJc w:val="left"/>
      <w:pPr>
        <w:ind w:left="3726" w:hanging="360"/>
      </w:pPr>
      <w:rPr>
        <w:rFonts w:hint="default"/>
        <w:lang w:val="en-US" w:eastAsia="en-US" w:bidi="en-US"/>
      </w:rPr>
    </w:lvl>
    <w:lvl w:ilvl="4" w:tplc="685C1ADE">
      <w:numFmt w:val="bullet"/>
      <w:lvlText w:val="•"/>
      <w:lvlJc w:val="left"/>
      <w:pPr>
        <w:ind w:left="4688" w:hanging="360"/>
      </w:pPr>
      <w:rPr>
        <w:rFonts w:hint="default"/>
        <w:lang w:val="en-US" w:eastAsia="en-US" w:bidi="en-US"/>
      </w:rPr>
    </w:lvl>
    <w:lvl w:ilvl="5" w:tplc="223823C6">
      <w:numFmt w:val="bullet"/>
      <w:lvlText w:val="•"/>
      <w:lvlJc w:val="left"/>
      <w:pPr>
        <w:ind w:left="5650" w:hanging="360"/>
      </w:pPr>
      <w:rPr>
        <w:rFonts w:hint="default"/>
        <w:lang w:val="en-US" w:eastAsia="en-US" w:bidi="en-US"/>
      </w:rPr>
    </w:lvl>
    <w:lvl w:ilvl="6" w:tplc="EC5AE476">
      <w:numFmt w:val="bullet"/>
      <w:lvlText w:val="•"/>
      <w:lvlJc w:val="left"/>
      <w:pPr>
        <w:ind w:left="6612" w:hanging="360"/>
      </w:pPr>
      <w:rPr>
        <w:rFonts w:hint="default"/>
        <w:lang w:val="en-US" w:eastAsia="en-US" w:bidi="en-US"/>
      </w:rPr>
    </w:lvl>
    <w:lvl w:ilvl="7" w:tplc="17022372">
      <w:numFmt w:val="bullet"/>
      <w:lvlText w:val="•"/>
      <w:lvlJc w:val="left"/>
      <w:pPr>
        <w:ind w:left="7574" w:hanging="360"/>
      </w:pPr>
      <w:rPr>
        <w:rFonts w:hint="default"/>
        <w:lang w:val="en-US" w:eastAsia="en-US" w:bidi="en-US"/>
      </w:rPr>
    </w:lvl>
    <w:lvl w:ilvl="8" w:tplc="3B64ED4E">
      <w:numFmt w:val="bullet"/>
      <w:lvlText w:val="•"/>
      <w:lvlJc w:val="left"/>
      <w:pPr>
        <w:ind w:left="8536"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4434A"/>
    <w:rsid w:val="00235801"/>
    <w:rsid w:val="00543E32"/>
    <w:rsid w:val="005960AE"/>
    <w:rsid w:val="0064434A"/>
    <w:rsid w:val="007D06FD"/>
    <w:rsid w:val="008C5E15"/>
    <w:rsid w:val="00B50B7A"/>
    <w:rsid w:val="00C4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96B5"/>
  <w15:docId w15:val="{9F36AF58-3341-41E8-9482-E3D0DB57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35801"/>
    <w:rPr>
      <w:color w:val="0000FF"/>
      <w:u w:val="single"/>
    </w:rPr>
  </w:style>
  <w:style w:type="character" w:styleId="FollowedHyperlink">
    <w:name w:val="FollowedHyperlink"/>
    <w:basedOn w:val="DefaultParagraphFont"/>
    <w:uiPriority w:val="99"/>
    <w:semiHidden/>
    <w:unhideWhenUsed/>
    <w:rsid w:val="00235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c.ca.gov/" TargetMode="External"/><Relationship Id="rId5" Type="http://schemas.openxmlformats.org/officeDocument/2006/relationships/hyperlink" Target="https://www.ctc.ca.gov/docs/default-source/credentials/online-services/pdf/oa-ef.pdf?sfvrsn=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Applicant Disclosure</vt:lpstr>
    </vt:vector>
  </TitlesOfParts>
  <Company>Sonoma COE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Disclosure</dc:title>
  <dc:creator>Technology Services</dc:creator>
  <cp:lastModifiedBy>Julie Hunter</cp:lastModifiedBy>
  <cp:revision>7</cp:revision>
  <dcterms:created xsi:type="dcterms:W3CDTF">2019-06-06T18:23:00Z</dcterms:created>
  <dcterms:modified xsi:type="dcterms:W3CDTF">2019-06-28T19:11:00Z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2011-04-21T00:00:00Z</vt:filetime>
  </property>
  <property fmtid="{D5CDD505-2E9C-101B-9397-08002B2CF9AE}" pid="3" name="Creator">
    <vt:lpwstr>Acrobat PDFMaker 7.0.7 for Word</vt:lpwstr>
  </property>
  <property fmtid="{D5CDD505-2E9C-101B-9397-08002B2CF9AE}" pid="4" name="LastSaved">
    <vt:filetime>2019-06-06T00:00:00Z</vt:filetime>
  </property>
</Properties>
</file>